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31" w:rsidRDefault="00951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152"/>
        <w:gridCol w:w="850"/>
        <w:gridCol w:w="1287"/>
        <w:gridCol w:w="840"/>
        <w:gridCol w:w="1208"/>
        <w:gridCol w:w="1686"/>
        <w:gridCol w:w="82"/>
        <w:gridCol w:w="631"/>
        <w:gridCol w:w="659"/>
        <w:gridCol w:w="1285"/>
      </w:tblGrid>
      <w:tr w:rsidR="00951731">
        <w:trPr>
          <w:trHeight w:val="37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951731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51731" w:rsidRDefault="00411D46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951731" w:rsidRDefault="00951731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951731" w:rsidRDefault="00411D46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Centro Universitario de Arte, Arquitectura y Diseño</w:t>
                  </w:r>
                </w:p>
              </w:tc>
            </w:tr>
          </w:tbl>
          <w:p w:rsidR="00951731" w:rsidRDefault="0095173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450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  <w:tr w:rsidR="00951731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51731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5173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Unidad de Aprendizaje 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INTERPRETACIÓN DE</w:t>
            </w:r>
          </w:p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UNIDADES VECINAL Y BARRIAL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1.2. Código de Unidad de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Aprendizaje :</w:t>
            </w:r>
            <w:proofErr w:type="gram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IB369</w:t>
            </w:r>
          </w:p>
        </w:tc>
      </w:tr>
      <w:tr w:rsidR="0095173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URBANISTICOS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horas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HORAS</w:t>
            </w:r>
          </w:p>
        </w:tc>
      </w:tr>
      <w:tr w:rsidR="00951731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95173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1.9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Prerrequisitos :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conceptuales aplicables al urbanismo</w:t>
            </w:r>
          </w:p>
        </w:tc>
      </w:tr>
      <w:tr w:rsidR="00951731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Pensamiento analítico, sentido de observación,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descripción  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representación de las unidades vecinal y barrial.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951731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Urbanística y Medio Ambiente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VISIÓN:</w:t>
            </w:r>
          </w:p>
        </w:tc>
      </w:tr>
      <w:tr w:rsidR="00951731">
        <w:trPr>
          <w:trHeight w:val="1155"/>
        </w:trPr>
        <w:tc>
          <w:tcPr>
            <w:tcW w:w="4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 xml:space="preserve">tura, nuestra comunidad genera y aplica el conocimiento con 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ética, equidad y respeto a todos los miembros de la sociedad.</w:t>
            </w:r>
          </w:p>
        </w:tc>
        <w:tc>
          <w:tcPr>
            <w:tcW w:w="63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 xml:space="preserve">El Centro Universitario de Arte, Arquitectura y Diseño es la mejor opción educativa en sus áreas de competencia con fundamento en los 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procesos creativos y la investigación científica y tecnológica. Cuenta con liderazgo académico internacional que se consolida en la calidad de sus programas educativos, su compromiso social y vinculación con los sectores productivos, culturales y económico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s. Sus egresados satisfacen con relevante capacidad las demandas sociales, ambientales, productivas y culturales.</w:t>
            </w:r>
          </w:p>
        </w:tc>
      </w:tr>
      <w:tr w:rsidR="00951731">
        <w:trPr>
          <w:trHeight w:val="2481"/>
        </w:trPr>
        <w:tc>
          <w:tcPr>
            <w:tcW w:w="468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77"/>
        </w:trPr>
        <w:tc>
          <w:tcPr>
            <w:tcW w:w="46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51731">
        <w:trPr>
          <w:trHeight w:val="20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951731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Profesionista que conoce, analiza, diagnostica, planea, proyecta y evalúa propuestas para la solución de la problemática urbana y regional desde un enfoque hacia el desarrollo sustentable, con capacidades para la gestión de propuestas y estrategias de plan</w:t>
            </w:r>
            <w:r>
              <w:rPr>
                <w:rFonts w:ascii="Arial" w:eastAsia="Arial" w:hAnsi="Arial" w:cs="Arial"/>
                <w:sz w:val="20"/>
                <w:szCs w:val="20"/>
              </w:rPr>
              <w:t>eación urbana y territorial con conocimientos teóricos, críticos, históricos, técnicos y socio humanísticos para la adecuada transformación de las sociedades contemporáneas, con ética y compromiso social.</w:t>
            </w:r>
          </w:p>
          <w:p w:rsidR="00951731" w:rsidRDefault="0095173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51731">
        <w:trPr>
          <w:trHeight w:val="97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alumno será capaz de comprender los conceptos básicos de la planeación vecina y barrial en relación con los distintos componentes de un centro de población de nivel intermedio, estatal y regional. Utilizando una metodología que le permita:</w:t>
            </w:r>
          </w:p>
          <w:p w:rsidR="00951731" w:rsidRDefault="00411D46">
            <w:pPr>
              <w:numPr>
                <w:ilvl w:val="0"/>
                <w:numId w:val="5"/>
              </w:num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Analizar las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condicionantes de los factores: socioeconómicos, naturales y artificiales del desarrollo urbano. </w:t>
            </w:r>
          </w:p>
          <w:p w:rsidR="00951731" w:rsidRDefault="00411D46">
            <w:pPr>
              <w:numPr>
                <w:ilvl w:val="0"/>
                <w:numId w:val="5"/>
              </w:num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Diagnosticar las causas y efectos de la problemática urbana de unidades vecinal y barrial en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subdistrito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urbano.</w:t>
            </w:r>
          </w:p>
          <w:p w:rsidR="00951731" w:rsidRDefault="00411D46">
            <w:pPr>
              <w:numPr>
                <w:ilvl w:val="0"/>
                <w:numId w:val="5"/>
              </w:num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Planear el ordenamiento urbano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de una unid</w:t>
            </w:r>
            <w:r>
              <w:rPr>
                <w:rFonts w:ascii="Arial" w:eastAsia="Arial" w:hAnsi="Arial" w:cs="Arial"/>
                <w:sz w:val="20"/>
                <w:szCs w:val="20"/>
              </w:rPr>
              <w:t>ad barrial con sus respectivas unidades vecinales, como parte estructurante de un centro de población, que responde a un proceso de urbanización.</w:t>
            </w:r>
          </w:p>
          <w:p w:rsidR="00951731" w:rsidRDefault="00411D46">
            <w:pPr>
              <w:numPr>
                <w:ilvl w:val="0"/>
                <w:numId w:val="5"/>
              </w:num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Lo que le permite incorporar estos conocimientos y habilidades, en su carrera y en el ejercicio profesional.</w:t>
            </w: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51731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RELACIONA:</w:t>
            </w:r>
          </w:p>
        </w:tc>
      </w:tr>
      <w:tr w:rsidR="00951731">
        <w:trPr>
          <w:trHeight w:val="31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materias: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“Fundamentos Conceptuales Aplicables al Urbanismo”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“Procesos Legales Urbanos y Territoriales”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“Procesos Metodológicos de la Planeación”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“Procesos Regulatorios del Urbanismo”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“Procesos Históricos del Urbanismo”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“Aplicación Cartográfica al Urbanismo”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“Caracterización Geográfica de la Población”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fortalecer sus conocimientos y que demuestre cómo Interpretar las unidades vecinal y barrial</w:t>
            </w:r>
          </w:p>
        </w:tc>
      </w:tr>
      <w:tr w:rsidR="00951731">
        <w:trPr>
          <w:trHeight w:val="315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1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 OBJETIVO GENERAL:</w:t>
            </w:r>
          </w:p>
        </w:tc>
      </w:tr>
      <w:tr w:rsidR="00951731">
        <w:trPr>
          <w:trHeight w:val="31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Reconocer, Identificar, Describir y Evaluar conceptos y datos estratégicos para lograr INTERPRETAR los Componentes de las Unidades Vecinal y Barrial, a través de presentar de forma oral, gráfica y escrita su contextualización.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</w:p>
        </w:tc>
      </w:tr>
      <w:tr w:rsidR="00951731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197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4.-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  EL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ALUMNO DEBERÁ DEMOSTRAR, CON LOS REQUISITOS CORRESPONDIENTES</w:t>
            </w:r>
          </w:p>
        </w:tc>
      </w:tr>
      <w:tr w:rsidR="00951731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411D46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951731">
        <w:trPr>
          <w:trHeight w:val="47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Reconoce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los conceptos socioeconómicos que participan en comprender los procesos urbanos.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Define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cómo los conceptos socioeconómicos organizan y fundamentan el proceso de urbanización.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cómo la Industria, la Vivienda y los Servicios se complementan en dicho proceso de urbanización.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 esquema teórico-conceptual donde integra las etapas del proceso de urbanización.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densidad y la intensidad en Industria, Vivienda y 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ervicios que participan en dicho proceso.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Demuestra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 conocimiento mediante ensayo escrito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esquema.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Asume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una actitud crítica y reflexiva de los conceptos y elementos que participan en el proceso de urbanización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Desarrolla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habilidades para debatir, escribir y graficar congruente.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Acepta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respeta las normas fijadas en clase.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113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las escalas del sistema de unidades urbanas y del sistema vial, en la estructura urbana.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Reconoce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cómo participa en la estructura urbana el sistema de unidades urbanas y el sistema vial.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Examina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detalladamente los principales elementos que participan en delimitar un área de estudio.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diferentes escalas de estructuración urbana y jerarquía vial.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Delimita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área de estudio donde participa la Unidad Vecinal y Barrial.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Demuestra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 conocimiento mediante ensayo escrito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planos.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Asume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una actitud crítica y reflexiva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factores que participan en la estructura urbana.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Desarrolla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habilidades para debatir, escribir y graficar congruente.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Acepta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respeta las normas fijadas en clase.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316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Describe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funcionamiento urbano,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torno al equipamiento y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consolidación de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nodos de servicio.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Clasifica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equipamientos que satisfacen necesidades de la sociedad, en función a su rango de acción.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Demuestra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consolidación de nodos de servicio, determinando su jerarquía en el área de estudio.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nivel de servicio de los equipamientos que satisfacen necesidades en el área de estudio.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estratégicamente los nodos de servicio y la dosificación que participa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el área de estudio.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Demuestra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 conocimiento mediante ensayo escrit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planos.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Asume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una actitud crítica y reflexiva en torno a la consolidación de los nodos de servicio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Desarrolla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habilidades para debatir, escribir y graficar congruente.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Acepta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respeta las normas fijadas en clase.</w:t>
            </w:r>
          </w:p>
        </w:tc>
      </w:tr>
      <w:tr w:rsidR="00951731">
        <w:trPr>
          <w:trHeight w:val="356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45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Evalúa y argumenta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 consolidación urbana. Mediante el análisis y diagnóstico de datos para interpretar las Unidades Vecinal y Barrial.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elementos que componen el Medio Físico Natural: Clima, vegetación, topografía, edafolog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ía, geología e hidrología.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elementos que componen el Medio Físico Transformado: usos de suelo, equipamiento, vialidad, transporte e infraestructura urbana.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elementos que componen el Medio Económico Social: Economía, educació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n, cultura y patologías.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Interpreta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componentes que integran a las unidades vecinal y barrial.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recorrido de campo para recabar información sobre el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MFN, MFT y MES.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Clasifica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planos temáticos la información obtenida.</w:t>
            </w:r>
          </w:p>
          <w:p w:rsidR="00951731" w:rsidRDefault="00951731">
            <w:pPr>
              <w:spacing w:before="40" w:after="40" w:line="288" w:lineRule="auto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información para obtener un diagnóstico.</w:t>
            </w:r>
          </w:p>
          <w:p w:rsidR="00951731" w:rsidRDefault="00951731">
            <w:pPr>
              <w:spacing w:before="40" w:after="40" w:line="288" w:lineRule="auto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Demuestra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 conocimiento a través del análisis y diagnóstico de los datos graficados en tabulares y planos / Memoria Descriptiva Entregable en Fin de Curso.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Asume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una actitud crítica y reflexiva en torno a la interpretación de las unidades vecinal y barrial.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Desarrolla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habilidades para debatir, escribir y graficar congruente.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Acepta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respeta las normas fijadas en clase.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Cumple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organizar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 CD, donde integra memoria descriptiva y archivos digitales realizados en el Curso, Un CD por Equipo con carpeta de cada alumno.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17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ind w:left="344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8064A2"/>
                <w:sz w:val="20"/>
                <w:szCs w:val="20"/>
                <w:highlight w:val="yellow"/>
              </w:rPr>
            </w:pP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99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951731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Reconoce los Conceptos Socio Económicos para comprender los Procesos Urbanos.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para revisar bibliografía e investigar los procesos urbanos, acotando la evolución de sus componentes y demostrarlo en un esquema Teórico Concep</w:t>
            </w:r>
            <w:r>
              <w:rPr>
                <w:rFonts w:ascii="Arial" w:eastAsia="Arial" w:hAnsi="Arial" w:cs="Arial"/>
                <w:sz w:val="20"/>
                <w:szCs w:val="20"/>
              </w:rPr>
              <w:t>tual; elaborando ensayo escrito y presentación digital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Pwp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individual o por equipo.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2.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Identifica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las Escalas de los Sistemas que Estructuran la Ciudad.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para elaborar mapas conceptuales, describiendo factores esenciales que </w:t>
            </w:r>
            <w:r>
              <w:rPr>
                <w:rFonts w:ascii="Arial" w:eastAsia="Arial" w:hAnsi="Arial" w:cs="Arial"/>
                <w:sz w:val="20"/>
                <w:szCs w:val="20"/>
              </w:rPr>
              <w:t>estructuran la ciudad, analizando Sistema de Unidades Urbanas y Sistema Vial; elaborando ensayo escrito y presentación digital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Pwp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individual o por equipo.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Describe los Equipamientos y Nodos que inciden en el Funcionamiento Urban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para analizar la pertinencia y dosificación de los elementos urbanos que participan en el funcionamiento de la ciudad considerando el Equipamiento y la consolidación de los Nodos de Servicio, dentro de un Área de Estudio de cierto contexto urbano</w:t>
            </w:r>
            <w:r>
              <w:rPr>
                <w:rFonts w:ascii="Arial" w:eastAsia="Arial" w:hAnsi="Arial" w:cs="Arial"/>
                <w:sz w:val="20"/>
                <w:szCs w:val="20"/>
              </w:rPr>
              <w:t>: elaborando ensayo escrito y presentación digital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Pwp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individual o por equipo.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4.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Evalúa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y Argumenta para Interpretar las Unidades Vecinal y Barrial.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para investigar en campo, componentes del Medio Físico Natural, Transfor</w:t>
            </w:r>
            <w:r>
              <w:rPr>
                <w:rFonts w:ascii="Arial" w:eastAsia="Arial" w:hAnsi="Arial" w:cs="Arial"/>
                <w:sz w:val="20"/>
                <w:szCs w:val="20"/>
              </w:rPr>
              <w:t>mado y Económico Social. Argumentando postura personal, mediante el análisis-diagnóstico de la información: Interpretando las Unidades Vecinal y Barrial.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documento entregable al finiquitar programa de la Unidad de Aprendizaje. individual o por equi</w:t>
            </w:r>
            <w:r>
              <w:rPr>
                <w:rFonts w:ascii="Arial" w:eastAsia="Arial" w:hAnsi="Arial" w:cs="Arial"/>
                <w:sz w:val="20"/>
                <w:szCs w:val="20"/>
              </w:rPr>
              <w:t>po: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Organiza en archivo digital una Memoria Descriptiva con interpretación de datos, tablas, procedimientos y planos.  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951731" w:rsidRDefault="00411D46">
            <w:pPr>
              <w:shd w:val="clear" w:color="auto" w:fill="808080"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951731" w:rsidRDefault="00411D46">
            <w:pPr>
              <w:shd w:val="clear" w:color="auto" w:fill="808080"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6.A.- ACREDITACIÓN Y EVALUACIÓN. Criterios y mecanismos. (asistencia, requisitos, exámenes, participación, trabajos,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etc. )</w:t>
            </w:r>
            <w:proofErr w:type="gramEnd"/>
          </w:p>
        </w:tc>
      </w:tr>
      <w:tr w:rsidR="00951731">
        <w:trPr>
          <w:trHeight w:val="408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curso se evalúa de manera continua e individual. Para acreditar el curso es necesario contar con el 80% de asistencias. (Art. 20 Reglamento general de evaluación y promoción de alumnos)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Continua: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Participación y puntualidad (Cumplimiento en avances y entregas de </w:t>
            </w:r>
            <w:r>
              <w:rPr>
                <w:rFonts w:ascii="Arial" w:eastAsia="Arial" w:hAnsi="Arial" w:cs="Arial"/>
                <w:sz w:val="20"/>
                <w:szCs w:val="20"/>
              </w:rPr>
              <w:t>investigación, ensayos, esquemas, conceptos, levantamientos, planos, estrategias, tanto en individual como en equipo, conforme al Programa)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Trabajo o Etapa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presentada, individual o en equipo, anula el derecho para continuar en el Programa.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Cumplimiento de alcances establecidos en las tres primeras competencias con la presentación de trabajos establecidos en el Programa: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1.Conceptos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Socio Económicos para Comprender los Procesos Urbanos, 2.Escalas de los Sistemas que Estru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cturan la Ciudad, y 3.Equipamiento y Nodos en el Funcionamiento Urbano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 60 %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Final: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Demostración del cumplimiento establecido en programa por medio de la realización del Trabajo Final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4. Argumentos para Interpretar las Unidades Vecinal y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Barrial: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Elaboración de una Investigación de Campo con su Análisis-Diagnóstico, para Interpretar la Estructura Urbana de una Unidad Barrial con sus Unidades Vecinales, así como la dosificación de los elementos urbanos que la componen. Complementando con 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elaboración de un Cartel para presentar en la Expo-Urbanismo, y practicar una evaluación en pares, al finiquitar Curso de la Unidad de Aprendizaje …………. 40 %                                                    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 100 %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periodo extraordinario se aplicará atendiendo a lo establecido en los artículos 25, 26 y </w:t>
            </w:r>
            <w:r>
              <w:rPr>
                <w:rFonts w:ascii="Arial" w:eastAsia="Arial" w:hAnsi="Arial" w:cs="Arial"/>
                <w:sz w:val="20"/>
                <w:szCs w:val="20"/>
              </w:rPr>
              <w:t>27 del Reglamento General de Evaluación y Promoción de Alumnos.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429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951731">
        <w:trPr>
          <w:trHeight w:val="257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5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951731">
        <w:trPr>
          <w:trHeight w:val="1636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Reconoce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los conceptos socioeconómicos que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 en comprender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procesos urbanos.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Taller donde se revisa e investiga los procesos urbanos, elaborando ensayo escrito individual, con esquema teórico-conceptual y línea temporal, en lo individual.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lastRenderedPageBreak/>
              <w:t xml:space="preserve">Donde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reconoce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conceptos clave para comprender cómo se construye la ciudad.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Para integrarlo posteriormente en su equipo. </w:t>
            </w:r>
          </w:p>
          <w:p w:rsidR="00951731" w:rsidRDefault="00411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una presentación en digital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Pwp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en equipo, como resultado de integrar los citados ensayos individuales. Contemplando los alcances de la competencia, con los esquemas teórico-conceptuales del proceso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urbanización.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que se evalúa con rúbrica respectiva.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951731">
        <w:trPr>
          <w:trHeight w:val="1413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las escalas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sistema de unidades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urbanas y del sistema vial,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la estructura urbana.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Taller donde reflexiona para elaborar un ensayo con planos conceptuales de la estructura urbana, interpretando el sistema de unidades urbanas y el sistema vial, delimitando área de estudio en cierto contexto urbano, en lo individual.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 de manera 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ráfica el área de estudio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Donde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identifica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factores esenciales que participan en la estructura urbana. Para integrarlo posteriormente en su equipo.</w:t>
            </w:r>
          </w:p>
          <w:p w:rsidR="00951731" w:rsidRDefault="00411D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una presentación en digital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Pwp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en equipo, como resultado de integrar los citados mapas conceptuales. Interpretando los alcances de la competencia, mediante la estructuración urbana de la Unidad Barrial y Unidades Vecinales.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que se eval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úa con rúbrica respectiva.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1753"/>
        </w:trPr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951731">
        <w:trPr>
          <w:trHeight w:val="320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31" w:rsidRDefault="00411D4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Describe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funcionamiento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urbano en torno 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equipamiento y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consolidación de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nodos de servicio.</w:t>
            </w:r>
          </w:p>
        </w:tc>
        <w:tc>
          <w:tcPr>
            <w:tcW w:w="5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Taller donde analiza la pertinencia y dosificación de los elementos urbanos que participan en el funcionamiento de la ciudad, elaborando tabulares del equipamiento e interpretando los nodos de servicio vecinal y barrial, en lo individual. Representa de man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era gráfica en área de estudio.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Donde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describe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dinámica de los elementos que inciden en funcionamiento urbano.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 integrarlo posteriormente en su equipo.</w:t>
            </w:r>
          </w:p>
          <w:p w:rsidR="00951731" w:rsidRDefault="00411D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una presentación en digital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Pwp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en equipo, integrando los tabulares individuales de propuestas para la dosificación de los elementos urbanos que inciden en el funcionamiento de la ciudad, indicando su nivel de servicio.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que se evalúa co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 rúbrica respectiva.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367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4.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Evalúa y argumenta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 consolidación urbana.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Mediante el análisis y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Diagnóstico de datos para interpretar las Unidades</w:t>
            </w: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Vecinal y Barrial.</w:t>
            </w:r>
          </w:p>
        </w:tc>
        <w:tc>
          <w:tcPr>
            <w:tcW w:w="5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 w:hanging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Taller donde investiga en campo, datos y componentes del medio físico natural, transformado y económico social / en equipo.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Donde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evalúa y argumenta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una postura personal mediante un análisis y diagnóstico de la información recabada, interpretando así,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estructura de las Unidades Vecinal y Barrial.</w:t>
            </w:r>
          </w:p>
          <w:p w:rsidR="00951731" w:rsidRDefault="00411D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 w:hanging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Organiza formalmente en archivo digital una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Memoria Descriptiva: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con las presentaciones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Pwp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), documentos, datos, tablas, procedimientos y planos del curso, integrando lo individual y lo de equipo,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Documento Entregable al Finiquitar Programa de la Unidad de Aprendizaje.</w:t>
            </w: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que se evalúa con rúbrica respectiva.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Valora asesoría en los avances del Trabajo Final.</w:t>
            </w:r>
          </w:p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 y Diseña Cartel 90x120 (Impreso T: DC) para revisión y selección, pa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 la Expo Urbanismo.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100%</w:t>
            </w:r>
          </w:p>
        </w:tc>
      </w:tr>
      <w:tr w:rsidR="00951731">
        <w:trPr>
          <w:trHeight w:val="572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1731">
        <w:trPr>
          <w:trHeight w:val="408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:rsidR="00951731" w:rsidRDefault="00951731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7.- BIBLIOGRAFÍA BASICA.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Mínimo  que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debe ser leída</w:t>
            </w:r>
          </w:p>
        </w:tc>
      </w:tr>
      <w:tr w:rsidR="00951731">
        <w:trPr>
          <w:trHeight w:val="48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C050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Aguilera, R. Javier (1994),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Fundación de Ciudades Hispanoamericanas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Madrid.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A.E.J. Morris (1984). Historia de la Forma Urbana, Ed. GG, Barcelona.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Capel, H. (2002)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Morfología de las Ciudades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Barcelona: Ed. Serbal.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Rossi, Aldo. (1999).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Arquitectura de la Ciudad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Barcelona: Gustavo Gili.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Chueca, G. (1997)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Breve Historia del Ur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banismo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Madrid: Alianza Editorial.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Bairoch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P. (1990).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Jericó a México. Historia de la Urbanización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México: Trillas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Borja, Jordi. (2005)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Ciudad Conquistada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Ed. Alianza.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Benevolo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L. (1977).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Diseño de la Ciudad-3. El Arte y la Ciudad Medieval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Barcelona: Gustavo Gili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Galantay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E.Y (1977)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Nuevas Ciudades de la Antigüedad a Nuestros Días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Barcelona: Gustavo Gili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García V. (2006).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Ciudad de Hojaldre. Visiones Urbanas del siglo XXI.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Madrid. Gustavo Gili.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Gutiérrez, Ramón (2002).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Arquitectura y Urbanismo en Iberoamérica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3ra Edición. Ediciones Cátedra.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Gehl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Jan. (2014)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Ciudades para la Gente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Buenos Aires, Argentina. Editorial Infinito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Jacobs, Jane. (2011)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Muerte y Vida de las Grandes Ciudades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Ed. Capitán Swing.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Mitchell, William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(2001)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E-TOPIA: Vida Urbana, Jim, Pero no la que nosotros conocemos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Ed GG.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Terán, F. (1982)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El Problema Urbano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Barcelona: Aula Abierta Salvat 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Schjetnan, M. Cavillo, J., Peniche, M. (1984).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Principios de Diseño Urbano Ambiental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México, Editorial Conce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pto.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Lefebvre, Henry. (2013)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Producción del Espacio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Ed. Capitán Swing.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Lynch. K. (1966)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Imagen de la Ciudad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Buenos Aires: Editorial Infinito.</w:t>
            </w:r>
          </w:p>
          <w:p w:rsidR="00951731" w:rsidRDefault="00411D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Documento: Plan de Desarrollo Urbano de Centro de Población, el que se defina en cada curso.</w:t>
            </w: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1731">
        <w:trPr>
          <w:trHeight w:val="129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51731" w:rsidRDefault="0095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951731" w:rsidRDefault="00951731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951731">
        <w:tc>
          <w:tcPr>
            <w:tcW w:w="5362" w:type="dxa"/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951731">
        <w:tc>
          <w:tcPr>
            <w:tcW w:w="5362" w:type="dxa"/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Julio de 2015</w:t>
            </w:r>
          </w:p>
        </w:tc>
      </w:tr>
      <w:tr w:rsidR="00951731">
        <w:tc>
          <w:tcPr>
            <w:tcW w:w="5362" w:type="dxa"/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Mtro. Arq. Martín Ricardo Franco Esqueda</w:t>
            </w:r>
          </w:p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Mtro. Arq. José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Dorazco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Barragán</w:t>
            </w:r>
          </w:p>
        </w:tc>
      </w:tr>
      <w:tr w:rsidR="00951731">
        <w:tc>
          <w:tcPr>
            <w:tcW w:w="5362" w:type="dxa"/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951731">
        <w:tc>
          <w:tcPr>
            <w:tcW w:w="5362" w:type="dxa"/>
            <w:shd w:val="clear" w:color="auto" w:fill="808080"/>
          </w:tcPr>
          <w:p w:rsidR="00951731" w:rsidRDefault="00411D4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951731" w:rsidRDefault="00411D4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951731" w:rsidRDefault="00951731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951731" w:rsidRDefault="00951731">
      <w:pPr>
        <w:spacing w:before="40" w:after="40" w:line="288" w:lineRule="auto"/>
        <w:rPr>
          <w:rFonts w:ascii="Arial" w:eastAsia="Arial" w:hAnsi="Arial" w:cs="Arial"/>
          <w:b/>
          <w:sz w:val="20"/>
          <w:szCs w:val="20"/>
        </w:rPr>
      </w:pPr>
    </w:p>
    <w:sectPr w:rsidR="00951731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46" w:rsidRDefault="00411D46">
      <w:pPr>
        <w:spacing w:after="0" w:line="240" w:lineRule="auto"/>
      </w:pPr>
      <w:r>
        <w:separator/>
      </w:r>
    </w:p>
  </w:endnote>
  <w:endnote w:type="continuationSeparator" w:id="0">
    <w:p w:rsidR="00411D46" w:rsidRDefault="004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31" w:rsidRDefault="00411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A69EE">
      <w:rPr>
        <w:color w:val="000000"/>
      </w:rPr>
      <w:fldChar w:fldCharType="separate"/>
    </w:r>
    <w:r w:rsidR="001A69EE">
      <w:rPr>
        <w:noProof/>
        <w:color w:val="000000"/>
      </w:rPr>
      <w:t>1</w:t>
    </w:r>
    <w:r>
      <w:rPr>
        <w:color w:val="000000"/>
      </w:rPr>
      <w:fldChar w:fldCharType="end"/>
    </w:r>
  </w:p>
  <w:p w:rsidR="00951731" w:rsidRDefault="009517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46" w:rsidRDefault="00411D46">
      <w:pPr>
        <w:spacing w:after="0" w:line="240" w:lineRule="auto"/>
      </w:pPr>
      <w:r>
        <w:separator/>
      </w:r>
    </w:p>
  </w:footnote>
  <w:footnote w:type="continuationSeparator" w:id="0">
    <w:p w:rsidR="00411D46" w:rsidRDefault="0041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F4B"/>
    <w:multiLevelType w:val="multilevel"/>
    <w:tmpl w:val="E8F80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C70"/>
    <w:multiLevelType w:val="multilevel"/>
    <w:tmpl w:val="ADE601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47D07"/>
    <w:multiLevelType w:val="multilevel"/>
    <w:tmpl w:val="79B4640E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604AF"/>
    <w:multiLevelType w:val="multilevel"/>
    <w:tmpl w:val="AE3810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1511A"/>
    <w:multiLevelType w:val="multilevel"/>
    <w:tmpl w:val="1908A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B0C57"/>
    <w:multiLevelType w:val="multilevel"/>
    <w:tmpl w:val="24425B7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7250F9"/>
    <w:multiLevelType w:val="multilevel"/>
    <w:tmpl w:val="4EFEC2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31"/>
    <w:rsid w:val="001A69EE"/>
    <w:rsid w:val="00411D46"/>
    <w:rsid w:val="009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6DB6-54F1-44EC-9B07-F6B568CE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60" w:after="60" w:line="240" w:lineRule="auto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2024-03-01T20:17:00Z</dcterms:created>
  <dcterms:modified xsi:type="dcterms:W3CDTF">2024-03-01T20:17:00Z</dcterms:modified>
</cp:coreProperties>
</file>