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633.0" w:type="dxa"/>
        <w:jc w:val="left"/>
        <w:tblInd w:w="-74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411"/>
        <w:gridCol w:w="1795"/>
        <w:gridCol w:w="2600"/>
        <w:gridCol w:w="2646"/>
        <w:gridCol w:w="1181"/>
        <w:tblGridChange w:id="0">
          <w:tblGrid>
            <w:gridCol w:w="2411"/>
            <w:gridCol w:w="1795"/>
            <w:gridCol w:w="2600"/>
            <w:gridCol w:w="2646"/>
            <w:gridCol w:w="1181"/>
          </w:tblGrid>
        </w:tblGridChange>
      </w:tblGrid>
      <w:tr>
        <w:trPr>
          <w:trHeight w:val="1838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02">
            <w:pPr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93346</wp:posOffset>
                  </wp:positionH>
                  <wp:positionV relativeFrom="paragraph">
                    <wp:posOffset>2540</wp:posOffset>
                  </wp:positionV>
                  <wp:extent cx="787400" cy="1028700"/>
                  <wp:effectExtent b="0" l="0" r="0" t="0"/>
                  <wp:wrapSquare wrapText="bothSides" distB="0" distT="0" distL="114300" distR="114300"/>
                  <wp:docPr descr="UDGNEWC1" id="2" name="image1.png"/>
                  <a:graphic>
                    <a:graphicData uri="http://schemas.openxmlformats.org/drawingml/2006/picture">
                      <pic:pic>
                        <pic:nvPicPr>
                          <pic:cNvPr descr="UDGNEWC1"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1028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03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UNIVERSIDAD DE GUADALAJARA</w:t>
            </w:r>
          </w:p>
          <w:p w:rsidR="00000000" w:rsidDel="00000000" w:rsidP="00000000" w:rsidRDefault="00000000" w:rsidRPr="00000000" w14:paraId="00000004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Centro Universitario de Arte, Arquitectura y Diseño</w:t>
            </w:r>
          </w:p>
          <w:p w:rsidR="00000000" w:rsidDel="00000000" w:rsidP="00000000" w:rsidRDefault="00000000" w:rsidRPr="00000000" w14:paraId="00000005">
            <w:pPr>
              <w:spacing w:line="36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Departamento de Proyectos de Comunicación</w:t>
            </w:r>
          </w:p>
          <w:p w:rsidR="00000000" w:rsidDel="00000000" w:rsidP="00000000" w:rsidRDefault="00000000" w:rsidRPr="00000000" w14:paraId="00000006">
            <w:pPr>
              <w:tabs>
                <w:tab w:val="left" w:pos="1650"/>
              </w:tabs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Academia de Diseño</w:t>
            </w:r>
          </w:p>
          <w:p w:rsidR="00000000" w:rsidDel="00000000" w:rsidP="00000000" w:rsidRDefault="00000000" w:rsidRPr="00000000" w14:paraId="00000007">
            <w:pPr>
              <w:tabs>
                <w:tab w:val="left" w:pos="1650"/>
              </w:tabs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PROGRAMA DE ASIGNATURA 2020-B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0A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90" w:hRule="atLeast"/>
        </w:trPr>
        <w:tc>
          <w:tcPr>
            <w:gridSpan w:val="5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7f7f7f" w:val="clear"/>
          </w:tcPr>
          <w:p w:rsidR="00000000" w:rsidDel="00000000" w:rsidP="00000000" w:rsidRDefault="00000000" w:rsidRPr="00000000" w14:paraId="0000000B">
            <w:pPr>
              <w:rPr>
                <w:rFonts w:ascii="Arial" w:cs="Arial" w:eastAsia="Arial" w:hAnsi="Arial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0"/>
                <w:szCs w:val="20"/>
                <w:rtl w:val="0"/>
              </w:rPr>
              <w:t xml:space="preserve">1.- DATOS DE IDENTIFICACIÓN.</w:t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10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11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12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13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14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8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7f7f7f" w:val="clear"/>
          </w:tcPr>
          <w:p w:rsidR="00000000" w:rsidDel="00000000" w:rsidP="00000000" w:rsidRDefault="00000000" w:rsidRPr="00000000" w14:paraId="00000015">
            <w:pPr>
              <w:ind w:right="-108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0"/>
                <w:szCs w:val="20"/>
                <w:rtl w:val="0"/>
              </w:rPr>
              <w:t xml:space="preserve">1.1.Nombre de la materia: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6">
            <w:pPr>
              <w:spacing w:before="120" w:line="360" w:lineRule="auto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PROYECTOS DE DISEÑO 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7f7f7f" w:val="clear"/>
          </w:tcPr>
          <w:p w:rsidR="00000000" w:rsidDel="00000000" w:rsidP="00000000" w:rsidRDefault="00000000" w:rsidRPr="00000000" w14:paraId="00000018">
            <w:pPr>
              <w:spacing w:before="120" w:line="36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0"/>
                <w:szCs w:val="20"/>
                <w:rtl w:val="0"/>
              </w:rPr>
              <w:t xml:space="preserve">1.2. Código de la materia: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9">
            <w:pPr>
              <w:spacing w:before="12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highlight w:val="yellow"/>
                <w:rtl w:val="0"/>
              </w:rPr>
              <w:t xml:space="preserve">TTT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2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7f7f7f" w:val="clear"/>
          </w:tcPr>
          <w:p w:rsidR="00000000" w:rsidDel="00000000" w:rsidP="00000000" w:rsidRDefault="00000000" w:rsidRPr="00000000" w14:paraId="0000001A">
            <w:pPr>
              <w:tabs>
                <w:tab w:val="right" w:pos="2195"/>
              </w:tabs>
              <w:spacing w:after="120" w:before="120" w:lineRule="auto"/>
              <w:rPr>
                <w:rFonts w:ascii="Arial" w:cs="Arial" w:eastAsia="Arial" w:hAnsi="Arial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0"/>
                <w:szCs w:val="20"/>
                <w:rtl w:val="0"/>
              </w:rPr>
              <w:t xml:space="preserve">1.3 Departamento: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B">
            <w:pPr>
              <w:spacing w:after="120" w:before="12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Proyectos de Comunicación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7f7f7f" w:val="clear"/>
          </w:tcPr>
          <w:p w:rsidR="00000000" w:rsidDel="00000000" w:rsidP="00000000" w:rsidRDefault="00000000" w:rsidRPr="00000000" w14:paraId="0000001D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0"/>
                <w:szCs w:val="20"/>
                <w:rtl w:val="0"/>
              </w:rPr>
              <w:t xml:space="preserve">1.4. Código de </w:t>
              <w:br w:type="textWrapping"/>
              <w:t xml:space="preserve">Departamento: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E">
            <w:pPr>
              <w:spacing w:before="12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PR</w:t>
            </w:r>
          </w:p>
        </w:tc>
      </w:tr>
      <w:t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7f7f7f" w:val="clear"/>
          </w:tcPr>
          <w:p w:rsidR="00000000" w:rsidDel="00000000" w:rsidP="00000000" w:rsidRDefault="00000000" w:rsidRPr="00000000" w14:paraId="0000001F">
            <w:pPr>
              <w:spacing w:before="120" w:lineRule="auto"/>
              <w:rPr>
                <w:rFonts w:ascii="Arial" w:cs="Arial" w:eastAsia="Arial" w:hAnsi="Arial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0"/>
                <w:szCs w:val="20"/>
                <w:rtl w:val="0"/>
              </w:rPr>
              <w:t xml:space="preserve">1.5. Carga horaria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7f7f7f" w:val="clear"/>
          </w:tcPr>
          <w:p w:rsidR="00000000" w:rsidDel="00000000" w:rsidP="00000000" w:rsidRDefault="00000000" w:rsidRPr="00000000" w14:paraId="00000020">
            <w:pPr>
              <w:rPr>
                <w:rFonts w:ascii="Arial" w:cs="Arial" w:eastAsia="Arial" w:hAnsi="Arial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0"/>
                <w:szCs w:val="20"/>
                <w:rtl w:val="0"/>
              </w:rPr>
              <w:t xml:space="preserve">Teoría: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7f7f7f" w:val="clear"/>
          </w:tcPr>
          <w:p w:rsidR="00000000" w:rsidDel="00000000" w:rsidP="00000000" w:rsidRDefault="00000000" w:rsidRPr="00000000" w14:paraId="00000021">
            <w:pPr>
              <w:rPr>
                <w:rFonts w:ascii="Arial" w:cs="Arial" w:eastAsia="Arial" w:hAnsi="Arial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0"/>
                <w:szCs w:val="20"/>
                <w:rtl w:val="0"/>
              </w:rPr>
              <w:t xml:space="preserve">Práctica: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7f7f7f" w:val="clear"/>
          </w:tcPr>
          <w:p w:rsidR="00000000" w:rsidDel="00000000" w:rsidP="00000000" w:rsidRDefault="00000000" w:rsidRPr="00000000" w14:paraId="00000022">
            <w:pPr>
              <w:rPr>
                <w:rFonts w:ascii="Arial" w:cs="Arial" w:eastAsia="Arial" w:hAnsi="Arial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0"/>
                <w:szCs w:val="20"/>
                <w:rtl w:val="0"/>
              </w:rPr>
              <w:t xml:space="preserve">Total:</w:t>
            </w:r>
          </w:p>
        </w:tc>
      </w:tr>
      <w:t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7f7f7f" w:val="clear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5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60 hrs.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6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100 hrs.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7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160 hrs.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8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74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7f7f7f" w:val="clear"/>
          </w:tcPr>
          <w:p w:rsidR="00000000" w:rsidDel="00000000" w:rsidP="00000000" w:rsidRDefault="00000000" w:rsidRPr="00000000" w14:paraId="00000029">
            <w:pPr>
              <w:spacing w:before="120" w:lineRule="auto"/>
              <w:rPr>
                <w:rFonts w:ascii="Arial" w:cs="Arial" w:eastAsia="Arial" w:hAnsi="Arial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0"/>
                <w:szCs w:val="20"/>
                <w:rtl w:val="0"/>
              </w:rPr>
              <w:t xml:space="preserve">1.6 Créditos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7f7f7f" w:val="clear"/>
          </w:tcPr>
          <w:p w:rsidR="00000000" w:rsidDel="00000000" w:rsidP="00000000" w:rsidRDefault="00000000" w:rsidRPr="00000000" w14:paraId="0000002A">
            <w:pPr>
              <w:spacing w:before="120" w:lineRule="auto"/>
              <w:rPr>
                <w:rFonts w:ascii="Arial" w:cs="Arial" w:eastAsia="Arial" w:hAnsi="Arial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0"/>
                <w:szCs w:val="20"/>
                <w:rtl w:val="0"/>
              </w:rPr>
              <w:t xml:space="preserve">1.8 Nivel de formación profesional: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7f7f7f" w:val="clear"/>
          </w:tcPr>
          <w:p w:rsidR="00000000" w:rsidDel="00000000" w:rsidP="00000000" w:rsidRDefault="00000000" w:rsidRPr="00000000" w14:paraId="0000002C">
            <w:pPr>
              <w:spacing w:before="120" w:lineRule="auto"/>
              <w:rPr>
                <w:rFonts w:ascii="Arial" w:cs="Arial" w:eastAsia="Arial" w:hAnsi="Arial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0"/>
                <w:szCs w:val="20"/>
                <w:rtl w:val="0"/>
              </w:rPr>
              <w:t xml:space="preserve">Tipo de curso (modalidad):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2E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highlight w:val="yellow"/>
                <w:rtl w:val="0"/>
              </w:rPr>
              <w:t xml:space="preserve">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2F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Licenciatura en Diseño para la Comunicación Gráfica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1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Curso Taller</w:t>
            </w:r>
          </w:p>
        </w:tc>
      </w:tr>
      <w:t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33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34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35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36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37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1" w:hRule="atLeast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7f7f7f" w:val="clear"/>
          </w:tcPr>
          <w:p w:rsidR="00000000" w:rsidDel="00000000" w:rsidP="00000000" w:rsidRDefault="00000000" w:rsidRPr="00000000" w14:paraId="00000038">
            <w:pPr>
              <w:spacing w:before="120" w:lineRule="auto"/>
              <w:rPr>
                <w:rFonts w:ascii="Arial" w:cs="Arial" w:eastAsia="Arial" w:hAnsi="Arial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0"/>
                <w:szCs w:val="20"/>
                <w:rtl w:val="0"/>
              </w:rPr>
              <w:t xml:space="preserve">2.- ÁREA DE FORMACIÓN EN QUE SE UBICA Y CARRERAS EN LAS QUE SE IMPARTE:</w:t>
            </w:r>
          </w:p>
        </w:tc>
      </w:tr>
      <w:t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7f7f7f" w:val="clear"/>
          </w:tcPr>
          <w:p w:rsidR="00000000" w:rsidDel="00000000" w:rsidP="00000000" w:rsidRDefault="00000000" w:rsidRPr="00000000" w14:paraId="0000003D">
            <w:pPr>
              <w:rPr>
                <w:rFonts w:ascii="Arial" w:cs="Arial" w:eastAsia="Arial" w:hAnsi="Arial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0"/>
                <w:szCs w:val="20"/>
                <w:rtl w:val="0"/>
              </w:rPr>
              <w:t xml:space="preserve">ÁREA DE FORMACIÓN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F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Básica Particular Obligatoria</w:t>
            </w:r>
          </w:p>
        </w:tc>
      </w:tr>
      <w:t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7f7f7f" w:val="clear"/>
          </w:tcPr>
          <w:p w:rsidR="00000000" w:rsidDel="00000000" w:rsidP="00000000" w:rsidRDefault="00000000" w:rsidRPr="00000000" w14:paraId="00000042">
            <w:pPr>
              <w:rPr>
                <w:rFonts w:ascii="Arial" w:cs="Arial" w:eastAsia="Arial" w:hAnsi="Arial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0"/>
                <w:szCs w:val="20"/>
                <w:rtl w:val="0"/>
              </w:rPr>
              <w:t xml:space="preserve">CARRERA: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4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Licenciatura en Diseño para la Comunicación Gráfica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47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48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49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4A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4B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7f7f7f" w:val="clear"/>
          </w:tcPr>
          <w:p w:rsidR="00000000" w:rsidDel="00000000" w:rsidP="00000000" w:rsidRDefault="00000000" w:rsidRPr="00000000" w14:paraId="0000004C">
            <w:pPr>
              <w:rPr>
                <w:rFonts w:ascii="Arial" w:cs="Arial" w:eastAsia="Arial" w:hAnsi="Arial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0"/>
                <w:szCs w:val="20"/>
                <w:rtl w:val="0"/>
              </w:rPr>
              <w:t xml:space="preserve">MISIÓN:</w:t>
            </w:r>
          </w:p>
        </w:tc>
      </w:tr>
      <w:t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1">
            <w:pPr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La Universidad de Guadalajara, en las carreras del CUAAD, y de manera particular en La licenciatura en Diseño para la Comunicación Gráfica tiene como misión formar de manera integral profesionistas de calidad en el ámbito académico, tecnológico, social y cultural. Con capacidad de gestionar, detectar y resolver problemas de comunicación visual, requeridos por el mercado laboral, tanto regional como nacional.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5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56">
            <w:pPr>
              <w:jc w:val="both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7f7f7f" w:val="clear"/>
          </w:tcPr>
          <w:p w:rsidR="00000000" w:rsidDel="00000000" w:rsidP="00000000" w:rsidRDefault="00000000" w:rsidRPr="00000000" w14:paraId="0000005B">
            <w:pPr>
              <w:jc w:val="both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VISIÓN:</w:t>
            </w:r>
          </w:p>
        </w:tc>
      </w:tr>
      <w:t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0">
            <w:pPr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La licenciatura en Diseño para la Comunicación Gráfica es reconocida internacionalmente por el alto nivel de su cuerpo académico mismo que demuestra su desarrollo a través de la investigación. Su producción culmina con la elaboración de diversos productos, además de ofrecer consultoría a los diversos sectores industriales, logrando que destaquen sus alumnos y egresados por su alto grado de profesionalismo en el manejo de las herramientas de la comunicación.</w:t>
            </w:r>
          </w:p>
        </w:tc>
      </w:tr>
      <w:tr>
        <w:tc>
          <w:tcPr>
            <w:gridSpan w:val="5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65">
            <w:pPr>
              <w:jc w:val="both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7f7f7f" w:val="clear"/>
          </w:tcPr>
          <w:p w:rsidR="00000000" w:rsidDel="00000000" w:rsidP="00000000" w:rsidRDefault="00000000" w:rsidRPr="00000000" w14:paraId="0000006A">
            <w:pPr>
              <w:jc w:val="both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FILOSOFÍA:</w:t>
            </w:r>
          </w:p>
        </w:tc>
      </w:tr>
      <w:t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F">
            <w:pPr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La licenciatura en Diseño para la Comunicación Gráfica tiene como filosofía el desarrollo integral de la persona, en el ámbito social, cultural, tecnológico y académico; uno de los valores principales es la libertad de las ideas, el respeto a las personas y al patrimonio cultural, fomentando el desarrollo de habilidades que generan actitudes por iniciativa propia.</w:t>
            </w:r>
          </w:p>
        </w:tc>
      </w:tr>
      <w:tr>
        <w:tc>
          <w:tcPr>
            <w:gridSpan w:val="5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74">
            <w:pPr>
              <w:jc w:val="both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7f7f7f" w:val="clear"/>
          </w:tcPr>
          <w:p w:rsidR="00000000" w:rsidDel="00000000" w:rsidP="00000000" w:rsidRDefault="00000000" w:rsidRPr="00000000" w14:paraId="00000079">
            <w:pPr>
              <w:jc w:val="both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PERFIL DEL EGRESADO:</w:t>
            </w:r>
          </w:p>
        </w:tc>
      </w:tr>
      <w:t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E">
            <w:pPr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El profesional del Diseño para la Comunicación Gráfica tendrá la capacidad para:</w:t>
            </w:r>
          </w:p>
          <w:p w:rsidR="00000000" w:rsidDel="00000000" w:rsidP="00000000" w:rsidRDefault="00000000" w:rsidRPr="00000000" w14:paraId="0000007F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227" w:right="0" w:hanging="227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Manejar el proceso metodológico del diseño y de la expresión gráfica de mensajes en la teoría y en la práctica.                                                                                                                                           Conocer y dominar los fundamentos teóricos, científicos, tecnológicos y filosóficos de las disciplinas que le permitan crear los mensajes gráficos que la sociedad demande.</w:t>
            </w:r>
          </w:p>
          <w:p w:rsidR="00000000" w:rsidDel="00000000" w:rsidP="00000000" w:rsidRDefault="00000000" w:rsidRPr="00000000" w14:paraId="00000080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227" w:right="0" w:hanging="227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Aplicar con creatividad la técnica en la búsqueda de soluciones a los problemas de diseño.</w:t>
            </w:r>
          </w:p>
          <w:p w:rsidR="00000000" w:rsidDel="00000000" w:rsidP="00000000" w:rsidRDefault="00000000" w:rsidRPr="00000000" w14:paraId="00000081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227" w:right="0" w:hanging="227"/>
              <w:jc w:val="left"/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Conocer, manejar y dominar las especialidades del diseño gráfico como imagen corporativa, diseño de carteles, empaques y envases, diseño de campañas y diseño tipográfico.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5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86">
            <w:pPr>
              <w:jc w:val="both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7f7f7f" w:val="clear"/>
          </w:tcPr>
          <w:p w:rsidR="00000000" w:rsidDel="00000000" w:rsidP="00000000" w:rsidRDefault="00000000" w:rsidRPr="00000000" w14:paraId="0000008B">
            <w:pPr>
              <w:tabs>
                <w:tab w:val="left" w:pos="1220"/>
              </w:tabs>
              <w:jc w:val="both"/>
              <w:rPr>
                <w:rFonts w:ascii="Arimo" w:cs="Arimo" w:eastAsia="Arimo" w:hAnsi="Arimo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VÍNCULOS DE LA MATERIA CON LA CARRERA: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0">
            <w:pPr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Es la materia especializante en proyectos de diseño a través de la cual se ponen en práctica procesos metodológicos, el análisis de información, la síntesis gráfica, el manejo de tipografías y composición visual como recursos esenciales para la producción de mensajes gráficos que atiendan problemas de comunicación de índole cultural, comercial, social y/o política.</w:t>
            </w:r>
          </w:p>
        </w:tc>
      </w:tr>
      <w:tr>
        <w:tc>
          <w:tcPr>
            <w:gridSpan w:val="5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95">
            <w:pPr>
              <w:jc w:val="both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7f7f7f" w:val="clear"/>
          </w:tcPr>
          <w:p w:rsidR="00000000" w:rsidDel="00000000" w:rsidP="00000000" w:rsidRDefault="00000000" w:rsidRPr="00000000" w14:paraId="0000009A">
            <w:pPr>
              <w:rPr>
                <w:rFonts w:ascii="Arial" w:cs="Arial" w:eastAsia="Arial" w:hAnsi="Arial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0"/>
                <w:szCs w:val="20"/>
                <w:rtl w:val="0"/>
              </w:rPr>
              <w:t xml:space="preserve">MATERIAS CON QUE SE RELACIONA:</w:t>
            </w:r>
          </w:p>
        </w:tc>
      </w:tr>
      <w:t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F">
            <w:pPr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Taller de Diseño I y II</w:t>
            </w:r>
          </w:p>
          <w:p w:rsidR="00000000" w:rsidDel="00000000" w:rsidP="00000000" w:rsidRDefault="00000000" w:rsidRPr="00000000" w14:paraId="000000A0">
            <w:pPr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Fundamentos I y II</w:t>
            </w:r>
          </w:p>
          <w:p w:rsidR="00000000" w:rsidDel="00000000" w:rsidP="00000000" w:rsidRDefault="00000000" w:rsidRPr="00000000" w14:paraId="000000A1">
            <w:pPr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Morfología de la letra</w:t>
            </w:r>
          </w:p>
          <w:p w:rsidR="00000000" w:rsidDel="00000000" w:rsidP="00000000" w:rsidRDefault="00000000" w:rsidRPr="00000000" w14:paraId="000000A2">
            <w:pPr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Representación Bidimensional del Diseño Gráfico I y II</w:t>
            </w:r>
          </w:p>
          <w:p w:rsidR="00000000" w:rsidDel="00000000" w:rsidP="00000000" w:rsidRDefault="00000000" w:rsidRPr="00000000" w14:paraId="000000A3">
            <w:pPr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Principios del Diseño</w:t>
            </w:r>
          </w:p>
          <w:p w:rsidR="00000000" w:rsidDel="00000000" w:rsidP="00000000" w:rsidRDefault="00000000" w:rsidRPr="00000000" w14:paraId="000000A4">
            <w:pPr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Comunicación Visual</w:t>
            </w:r>
          </w:p>
          <w:p w:rsidR="00000000" w:rsidDel="00000000" w:rsidP="00000000" w:rsidRDefault="00000000" w:rsidRPr="00000000" w14:paraId="000000A5">
            <w:pPr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Apreciación Estética</w:t>
            </w:r>
          </w:p>
          <w:p w:rsidR="00000000" w:rsidDel="00000000" w:rsidP="00000000" w:rsidRDefault="00000000" w:rsidRPr="00000000" w14:paraId="000000A6">
            <w:pPr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Percepción visual</w:t>
            </w:r>
          </w:p>
          <w:p w:rsidR="00000000" w:rsidDel="00000000" w:rsidP="00000000" w:rsidRDefault="00000000" w:rsidRPr="00000000" w14:paraId="000000A7">
            <w:pPr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Teorías para la comunicación en Diseño Gráfico</w:t>
            </w:r>
          </w:p>
        </w:tc>
      </w:tr>
      <w:tr>
        <w:tc>
          <w:tcPr>
            <w:gridSpan w:val="5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AC">
            <w:pPr>
              <w:jc w:val="both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7f7f7f" w:val="clear"/>
          </w:tcPr>
          <w:p w:rsidR="00000000" w:rsidDel="00000000" w:rsidP="00000000" w:rsidRDefault="00000000" w:rsidRPr="00000000" w14:paraId="000000B1">
            <w:pPr>
              <w:jc w:val="both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PERFIL DOCENTE</w:t>
            </w:r>
          </w:p>
        </w:tc>
      </w:tr>
      <w:t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6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227" w:right="0" w:hanging="227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El docente deberá contar con conocimientos relacionados a: metodología del diseño gráfico aplicada, análisis de información y síntesis visual, composición visual, teoría del color y la forma, producción de imágenes, redacción publicitaria, tipografía, retórica y argumentación, impresión en gran formato y legislación en materia de publicidad. </w:t>
            </w:r>
          </w:p>
          <w:p w:rsidR="00000000" w:rsidDel="00000000" w:rsidP="00000000" w:rsidRDefault="00000000" w:rsidRPr="00000000" w14:paraId="000000B7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140"/>
              </w:tabs>
              <w:spacing w:after="0" w:before="0" w:line="276" w:lineRule="auto"/>
              <w:ind w:left="227" w:right="0" w:hanging="227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Conocer y aplicar estrategias de enseñanza-aprendizaje adecuadas al taller de diseño. </w:t>
            </w:r>
          </w:p>
          <w:p w:rsidR="00000000" w:rsidDel="00000000" w:rsidP="00000000" w:rsidRDefault="00000000" w:rsidRPr="00000000" w14:paraId="000000B8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140"/>
              </w:tabs>
              <w:spacing w:after="200" w:before="0" w:line="276" w:lineRule="auto"/>
              <w:ind w:left="227" w:right="0" w:hanging="227"/>
              <w:jc w:val="left"/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Fomentar en los estudiantes el hábito de la puntualidad, la organización, la ética, el respeto a sus semejantes y a su entorno, la búsqueda de su desarrollo profesional y la reflexión en torno a sus aprendizajes, el interés por los fenómenos sociales y políticos, el valor de apreciación hacia la estética y la cultura, el trabajo en equipo así como el respeto y profesionalismo para discutir sus ideas.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5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BD">
            <w:pPr>
              <w:jc w:val="both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7f7f7f" w:val="clear"/>
          </w:tcPr>
          <w:p w:rsidR="00000000" w:rsidDel="00000000" w:rsidP="00000000" w:rsidRDefault="00000000" w:rsidRPr="00000000" w14:paraId="000000C2">
            <w:pPr>
              <w:tabs>
                <w:tab w:val="left" w:pos="1020"/>
              </w:tabs>
              <w:ind w:left="57" w:hanging="57"/>
              <w:rPr>
                <w:rFonts w:ascii="Arimo" w:cs="Arimo" w:eastAsia="Arimo" w:hAnsi="Arimo"/>
                <w:color w:val="000000"/>
              </w:rPr>
            </w:pPr>
            <w:r w:rsidDel="00000000" w:rsidR="00000000" w:rsidRPr="00000000">
              <w:rPr>
                <w:rFonts w:ascii="Arimo" w:cs="Arimo" w:eastAsia="Arimo" w:hAnsi="Arimo"/>
                <w:color w:val="000000"/>
                <w:rtl w:val="0"/>
              </w:rPr>
              <w:tab/>
            </w: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3.- OBJETIVOS GENERALES: Lo que el alumno debe saber hacer al finalizar el curso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18" w:hRule="atLeast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7f7f7f" w:val="clear"/>
          </w:tcPr>
          <w:p w:rsidR="00000000" w:rsidDel="00000000" w:rsidP="00000000" w:rsidRDefault="00000000" w:rsidRPr="00000000" w14:paraId="000000C7">
            <w:pPr>
              <w:spacing w:before="120" w:lineRule="auto"/>
              <w:rPr>
                <w:rFonts w:ascii="Arial" w:cs="Arial" w:eastAsia="Arial" w:hAnsi="Arial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0"/>
                <w:szCs w:val="20"/>
                <w:rtl w:val="0"/>
              </w:rPr>
              <w:t xml:space="preserve">3.1. INFORMATIVOS ( conocer, comprender, manejar )</w:t>
            </w:r>
          </w:p>
        </w:tc>
      </w:tr>
      <w:tr>
        <w:trPr>
          <w:trHeight w:val="418" w:hRule="atLeast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C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Objetivo general:</w:t>
            </w:r>
          </w:p>
          <w:p w:rsidR="00000000" w:rsidDel="00000000" w:rsidP="00000000" w:rsidRDefault="00000000" w:rsidRPr="00000000" w14:paraId="000000C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Que el alumno desarrolle propuestas de diseño basadas en la interpretación, traducción y conceptualización de adjetivos y categorías considerando un usuario predeterminado.</w:t>
            </w:r>
          </w:p>
          <w:p w:rsidR="00000000" w:rsidDel="00000000" w:rsidP="00000000" w:rsidRDefault="00000000" w:rsidRPr="00000000" w14:paraId="000000C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F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Objetivos específicos:</w:t>
            </w:r>
          </w:p>
          <w:p w:rsidR="00000000" w:rsidDel="00000000" w:rsidP="00000000" w:rsidRDefault="00000000" w:rsidRPr="00000000" w14:paraId="000000D0">
            <w:pPr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1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6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Realizar un análisis crítico de piezas de diseño gráfico existentes.</w:t>
            </w:r>
          </w:p>
          <w:p w:rsidR="00000000" w:rsidDel="00000000" w:rsidP="00000000" w:rsidRDefault="00000000" w:rsidRPr="00000000" w14:paraId="000000D2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6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Conozca y aplique herramientas para la traducción de enunciados lingüísticos a elementos visuales.</w:t>
            </w:r>
          </w:p>
          <w:p w:rsidR="00000000" w:rsidDel="00000000" w:rsidP="00000000" w:rsidRDefault="00000000" w:rsidRPr="00000000" w14:paraId="000000D3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6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Sea capaz de generar conceptos a partir de la combinación de categorías distintas.</w:t>
            </w:r>
          </w:p>
          <w:p w:rsidR="00000000" w:rsidDel="00000000" w:rsidP="00000000" w:rsidRDefault="00000000" w:rsidRPr="00000000" w14:paraId="000000D4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36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Producir propuestas gráficas considerando al usuario y su contexto.</w:t>
            </w:r>
          </w:p>
          <w:p w:rsidR="00000000" w:rsidDel="00000000" w:rsidP="00000000" w:rsidRDefault="00000000" w:rsidRPr="00000000" w14:paraId="000000D5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5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DA">
            <w:pPr>
              <w:rPr>
                <w:rFonts w:ascii="Arial" w:cs="Arial" w:eastAsia="Arial" w:hAnsi="Arial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18" w:hRule="atLeast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7f7f7f" w:val="clear"/>
          </w:tcPr>
          <w:p w:rsidR="00000000" w:rsidDel="00000000" w:rsidP="00000000" w:rsidRDefault="00000000" w:rsidRPr="00000000" w14:paraId="000000DF">
            <w:pPr>
              <w:tabs>
                <w:tab w:val="left" w:pos="2260"/>
              </w:tabs>
              <w:spacing w:after="120" w:before="120" w:lineRule="auto"/>
              <w:rPr>
                <w:rFonts w:ascii="Arial" w:cs="Arial" w:eastAsia="Arial" w:hAnsi="Arial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0"/>
                <w:szCs w:val="20"/>
                <w:rtl w:val="0"/>
              </w:rPr>
              <w:t xml:space="preserve">3.2. FORMATIVOS (INTELECTUAL: habilidades, destrezas; HUMANO: actitudes, valores; SOCIAL: cooperación, tolerancia; PROFESIONAL: formación integral. )</w:t>
            </w:r>
          </w:p>
        </w:tc>
      </w:tr>
      <w:tr>
        <w:trPr>
          <w:trHeight w:val="418" w:hRule="atLeast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E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5">
            <w:pPr>
              <w:keepNext w:val="0"/>
              <w:keepLines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Trabajar con tolerancia, respeto y valores éticos </w:t>
            </w: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mediante labor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en equipo, integrando la evaluación, autoevaluación y    </w:t>
            </w: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co-evaluación de su desempeño objetivamente, respetando derechos de autor y propiedad intelectual, evitando plagios.</w:t>
            </w:r>
          </w:p>
          <w:p w:rsidR="00000000" w:rsidDel="00000000" w:rsidP="00000000" w:rsidRDefault="00000000" w:rsidRPr="00000000" w14:paraId="000000E6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Desarrollar la capacidad de investigar y realizar el análisis y síntesis para transformar requerimientos puntuales de carácter verbal en propuestas de comunicación visual aplicadas.</w:t>
            </w:r>
          </w:p>
          <w:p w:rsidR="00000000" w:rsidDel="00000000" w:rsidP="00000000" w:rsidRDefault="00000000" w:rsidRPr="00000000" w14:paraId="000000E7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Trabajar considerando la sustentabilidad y responsabilidad social implementando el manejo de las TIC.</w:t>
            </w:r>
          </w:p>
          <w:p w:rsidR="00000000" w:rsidDel="00000000" w:rsidP="00000000" w:rsidRDefault="00000000" w:rsidRPr="00000000" w14:paraId="000000E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36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5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ED">
            <w:pPr>
              <w:rPr>
                <w:rFonts w:ascii="Arial" w:cs="Arial" w:eastAsia="Arial" w:hAnsi="Arial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E">
            <w:pPr>
              <w:rPr>
                <w:rFonts w:ascii="Arial" w:cs="Arial" w:eastAsia="Arial" w:hAnsi="Arial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18" w:hRule="atLeast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7f7f7f" w:val="clear"/>
          </w:tcPr>
          <w:p w:rsidR="00000000" w:rsidDel="00000000" w:rsidP="00000000" w:rsidRDefault="00000000" w:rsidRPr="00000000" w14:paraId="000000F3">
            <w:pPr>
              <w:spacing w:before="120" w:lineRule="auto"/>
              <w:rPr>
                <w:rFonts w:ascii="Arial" w:cs="Arial" w:eastAsia="Arial" w:hAnsi="Arial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4.- CONTENIDO TEMÁTICO PRINCIPAL. ( Agrupando de preferencia en tres o cuatro unidades 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18" w:hRule="atLeast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F8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9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Unidad l:</w:t>
            </w: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El signo gráfico</w:t>
            </w:r>
          </w:p>
          <w:p w:rsidR="00000000" w:rsidDel="00000000" w:rsidP="00000000" w:rsidRDefault="00000000" w:rsidRPr="00000000" w14:paraId="000000FA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• Definición del signo</w:t>
            </w:r>
          </w:p>
          <w:p w:rsidR="00000000" w:rsidDel="00000000" w:rsidP="00000000" w:rsidRDefault="00000000" w:rsidRPr="00000000" w14:paraId="000000FB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• Elementos del signo </w:t>
            </w:r>
          </w:p>
          <w:p w:rsidR="00000000" w:rsidDel="00000000" w:rsidP="00000000" w:rsidRDefault="00000000" w:rsidRPr="00000000" w14:paraId="000000FC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• Los signos y su clasificación.</w:t>
            </w:r>
          </w:p>
          <w:p w:rsidR="00000000" w:rsidDel="00000000" w:rsidP="00000000" w:rsidRDefault="00000000" w:rsidRPr="00000000" w14:paraId="000000FD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• Esquemas de Comunicación Pierce, Jackobson, Gerbner y Shanon y Weaber•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E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F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UNIDAD 2: Categorización e hibridación visual</w:t>
            </w:r>
          </w:p>
          <w:p w:rsidR="00000000" w:rsidDel="00000000" w:rsidP="00000000" w:rsidRDefault="00000000" w:rsidRPr="00000000" w14:paraId="00000100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1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• Metodología para el diseño </w:t>
            </w:r>
          </w:p>
          <w:p w:rsidR="00000000" w:rsidDel="00000000" w:rsidP="00000000" w:rsidRDefault="00000000" w:rsidRPr="00000000" w14:paraId="00000102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• Brief </w:t>
            </w:r>
          </w:p>
          <w:p w:rsidR="00000000" w:rsidDel="00000000" w:rsidP="00000000" w:rsidRDefault="00000000" w:rsidRPr="00000000" w14:paraId="00000103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• Recorridos semánticos (leer Román Esqueda) </w:t>
            </w:r>
          </w:p>
          <w:p w:rsidR="00000000" w:rsidDel="00000000" w:rsidP="00000000" w:rsidRDefault="00000000" w:rsidRPr="00000000" w14:paraId="00000104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• Interpretaciones semánticas a través de mapa de Ishikawa (Esquema Pez o de Espina).</w:t>
            </w:r>
          </w:p>
          <w:p w:rsidR="00000000" w:rsidDel="00000000" w:rsidP="00000000" w:rsidRDefault="00000000" w:rsidRPr="00000000" w14:paraId="00000105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• El concepto y la interpretación traducción del mensaje verbal al mensaje visual. (Línea Materializante-Marco e Isaac- Zincografía)</w:t>
            </w:r>
          </w:p>
          <w:p w:rsidR="00000000" w:rsidDel="00000000" w:rsidP="00000000" w:rsidRDefault="00000000" w:rsidRPr="00000000" w14:paraId="00000106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• El usuario, el escenario y la comprensión</w:t>
            </w:r>
          </w:p>
          <w:p w:rsidR="00000000" w:rsidDel="00000000" w:rsidP="00000000" w:rsidRDefault="00000000" w:rsidRPr="00000000" w14:paraId="00000107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• Argumentación del proyecto • </w:t>
            </w:r>
          </w:p>
          <w:p w:rsidR="00000000" w:rsidDel="00000000" w:rsidP="00000000" w:rsidRDefault="00000000" w:rsidRPr="00000000" w14:paraId="00000108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9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UNIDAD 3:</w:t>
            </w: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Estrategias de traducción gráfico</w:t>
            </w:r>
          </w:p>
          <w:p w:rsidR="00000000" w:rsidDel="00000000" w:rsidP="00000000" w:rsidRDefault="00000000" w:rsidRPr="00000000" w14:paraId="0000010A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• Categorización/Metodología para el diseño </w:t>
            </w:r>
          </w:p>
          <w:p w:rsidR="00000000" w:rsidDel="00000000" w:rsidP="00000000" w:rsidRDefault="00000000" w:rsidRPr="00000000" w14:paraId="0000010B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• Hibridación de Conceptos </w:t>
            </w:r>
          </w:p>
          <w:p w:rsidR="00000000" w:rsidDel="00000000" w:rsidP="00000000" w:rsidRDefault="00000000" w:rsidRPr="00000000" w14:paraId="0000010C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• Figuras retóricas</w:t>
            </w:r>
          </w:p>
          <w:p w:rsidR="00000000" w:rsidDel="00000000" w:rsidP="00000000" w:rsidRDefault="00000000" w:rsidRPr="00000000" w14:paraId="0000010D">
            <w:pPr>
              <w:rPr>
                <w:rFonts w:ascii="Verdana" w:cs="Verdana" w:eastAsia="Verdana" w:hAnsi="Verdan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18" w:hRule="atLeast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7f7f7f" w:val="clear"/>
          </w:tcPr>
          <w:p w:rsidR="00000000" w:rsidDel="00000000" w:rsidP="00000000" w:rsidRDefault="00000000" w:rsidRPr="00000000" w14:paraId="00000112">
            <w:pPr>
              <w:tabs>
                <w:tab w:val="left" w:pos="920"/>
              </w:tabs>
              <w:spacing w:before="120" w:lineRule="auto"/>
              <w:rPr>
                <w:rFonts w:ascii="Arial" w:cs="Arial" w:eastAsia="Arial" w:hAnsi="Arial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5.- METODOLOGÍA DE TRABAJO Y/O ACTIVIDADES PARA EL ALUMNO: Especificar solo los aspectos generales de cómo se desarrollará el curso, para los aspectos particulares y específicos tomar en consideración el AVANCE PROGRAMÁTICO, anexo.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18" w:hRule="atLeast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17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8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Técnica expositiva, entrega de Brief, reportes de lecturas, desarrollo de proyectos en taller, investigaciones, debate, discusiones de grupo, trabajo en equipos y aprendizaje orientado a proyectos (AOP), accediendo a las TIC dadas las características del curso por contingencia sanitaria.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9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5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11E">
            <w:pPr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18" w:hRule="atLeast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7f7f7f" w:val="clear"/>
          </w:tcPr>
          <w:p w:rsidR="00000000" w:rsidDel="00000000" w:rsidP="00000000" w:rsidRDefault="00000000" w:rsidRPr="00000000" w14:paraId="00000123">
            <w:pPr>
              <w:spacing w:before="120" w:lineRule="auto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0"/>
                <w:szCs w:val="20"/>
                <w:rtl w:val="0"/>
              </w:rPr>
              <w:t xml:space="preserve">6.- RECURSOS DIDÁCTICOS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ab/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18" w:hRule="atLeast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28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SE TRABAJARÁ A TRAVÉS DE TRES PROYECTOS (se describen en brief específico para cada uno):</w:t>
            </w:r>
          </w:p>
          <w:p w:rsidR="00000000" w:rsidDel="00000000" w:rsidP="00000000" w:rsidRDefault="00000000" w:rsidRPr="00000000" w14:paraId="00000129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A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Temática:</w:t>
            </w:r>
          </w:p>
          <w:p w:rsidR="00000000" w:rsidDel="00000000" w:rsidP="00000000" w:rsidRDefault="00000000" w:rsidRPr="00000000" w14:paraId="0000012B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227" w:right="0" w:hanging="227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Emoji /Stickers(ejercicio</w:t>
            </w: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C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227" w:right="0" w:hanging="227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Tarjeta de Presentación (Ejercicio</w:t>
            </w: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D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227" w:right="0" w:hanging="227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Portada de Libro (3 géneros)-Proyecto 1</w:t>
            </w:r>
          </w:p>
          <w:p w:rsidR="00000000" w:rsidDel="00000000" w:rsidP="00000000" w:rsidRDefault="00000000" w:rsidRPr="00000000" w14:paraId="0000012E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227" w:right="0" w:hanging="227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Cartel y Programa de Mano Proyecto 2</w:t>
            </w:r>
          </w:p>
          <w:p w:rsidR="00000000" w:rsidDel="00000000" w:rsidP="00000000" w:rsidRDefault="00000000" w:rsidRPr="00000000" w14:paraId="0000012F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227" w:right="0" w:hanging="227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Portada de Disco con Booklet / CD-DVD- / LP / Fly</w:t>
            </w: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er-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Proyecto 3</w:t>
            </w:r>
          </w:p>
          <w:p w:rsidR="00000000" w:rsidDel="00000000" w:rsidP="00000000" w:rsidRDefault="00000000" w:rsidRPr="00000000" w14:paraId="00000130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1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Se utilizarán distintos recursos para construcción de la imagen:</w:t>
            </w:r>
          </w:p>
          <w:p w:rsidR="00000000" w:rsidDel="00000000" w:rsidP="00000000" w:rsidRDefault="00000000" w:rsidRPr="00000000" w14:paraId="00000132">
            <w:pPr>
              <w:keepNext w:val="0"/>
              <w:keepLines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227" w:right="0" w:hanging="227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Tipográfico</w:t>
            </w:r>
          </w:p>
          <w:p w:rsidR="00000000" w:rsidDel="00000000" w:rsidP="00000000" w:rsidRDefault="00000000" w:rsidRPr="00000000" w14:paraId="00000133">
            <w:pPr>
              <w:keepNext w:val="0"/>
              <w:keepLines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227" w:right="0" w:hanging="227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Fotográfico</w:t>
            </w:r>
          </w:p>
          <w:p w:rsidR="00000000" w:rsidDel="00000000" w:rsidP="00000000" w:rsidRDefault="00000000" w:rsidRPr="00000000" w14:paraId="00000134">
            <w:pPr>
              <w:keepNext w:val="0"/>
              <w:keepLines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227" w:right="0" w:hanging="227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Ilustración</w:t>
            </w:r>
          </w:p>
          <w:p w:rsidR="00000000" w:rsidDel="00000000" w:rsidP="00000000" w:rsidRDefault="00000000" w:rsidRPr="00000000" w14:paraId="00000135">
            <w:pPr>
              <w:keepNext w:val="0"/>
              <w:keepLines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227" w:right="0" w:hanging="227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Mixto</w:t>
            </w:r>
          </w:p>
          <w:p w:rsidR="00000000" w:rsidDel="00000000" w:rsidP="00000000" w:rsidRDefault="00000000" w:rsidRPr="00000000" w14:paraId="00000136">
            <w:pPr>
              <w:keepNext w:val="0"/>
              <w:keepLines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227" w:right="0" w:hanging="227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Modelos y maquetas (Mockup)</w:t>
            </w:r>
          </w:p>
          <w:p w:rsidR="00000000" w:rsidDel="00000000" w:rsidP="00000000" w:rsidRDefault="00000000" w:rsidRPr="00000000" w14:paraId="0000013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227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5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13C">
            <w:pPr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18" w:hRule="atLeast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7f7f7f" w:val="clear"/>
          </w:tcPr>
          <w:p w:rsidR="00000000" w:rsidDel="00000000" w:rsidP="00000000" w:rsidRDefault="00000000" w:rsidRPr="00000000" w14:paraId="00000141">
            <w:pPr>
              <w:tabs>
                <w:tab w:val="left" w:pos="2720"/>
              </w:tabs>
              <w:spacing w:before="12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7.- CALIFICACIÓN, ACREDITACIÓN Y EVALUACIÓN. Especificar los criterios y mecanismos. ( asistencia, requisitos, exámenes, participación, trabajos, etc. 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18" w:hRule="atLeast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46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7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TÓPICOS PARA TENER DERECHO A LA ACREDITACIÓN </w:t>
            </w:r>
          </w:p>
          <w:p w:rsidR="00000000" w:rsidDel="00000000" w:rsidP="00000000" w:rsidRDefault="00000000" w:rsidRPr="00000000" w14:paraId="00000148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80%   Asistencia.</w:t>
            </w:r>
          </w:p>
          <w:p w:rsidR="00000000" w:rsidDel="00000000" w:rsidP="00000000" w:rsidRDefault="00000000" w:rsidRPr="00000000" w14:paraId="00000149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80%   Ejercicios y tareas</w:t>
            </w:r>
          </w:p>
          <w:p w:rsidR="00000000" w:rsidDel="00000000" w:rsidP="00000000" w:rsidRDefault="00000000" w:rsidRPr="00000000" w14:paraId="0000014A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100% Desarrollos entregados</w:t>
            </w:r>
          </w:p>
          <w:p w:rsidR="00000000" w:rsidDel="00000000" w:rsidP="00000000" w:rsidRDefault="00000000" w:rsidRPr="00000000" w14:paraId="0000014B">
            <w:pPr>
              <w:rPr>
                <w:rFonts w:ascii="Arial" w:cs="Arial" w:eastAsia="Arial" w:hAnsi="Arial"/>
                <w:color w:val="0000ff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C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TÓPICOS DE EVALUACIÓN  (Por desarrollo).</w:t>
            </w:r>
          </w:p>
          <w:p w:rsidR="00000000" w:rsidDel="00000000" w:rsidP="00000000" w:rsidRDefault="00000000" w:rsidRPr="00000000" w14:paraId="0000014D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En los desarrollos no se pueden utilizar imágenes tomadas de Internet. El uso de imágenes que no sean propias se considerará plagio y el cartel se calificará con cero. Reincidir amerita repetir curso.</w:t>
            </w:r>
          </w:p>
          <w:p w:rsidR="00000000" w:rsidDel="00000000" w:rsidP="00000000" w:rsidRDefault="00000000" w:rsidRPr="00000000" w14:paraId="0000014E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• 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La entrega de tareas y ejercicios con retraso reducen la calificación:</w:t>
            </w:r>
          </w:p>
          <w:p w:rsidR="00000000" w:rsidDel="00000000" w:rsidP="00000000" w:rsidRDefault="00000000" w:rsidRPr="00000000" w14:paraId="0000014F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• 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Los criterios de entrega serán establecidos durante el transcurso del semestre. Estar atentos a las plataformas que definirán las fechas/horarios.</w:t>
            </w:r>
          </w:p>
          <w:p w:rsidR="00000000" w:rsidDel="00000000" w:rsidP="00000000" w:rsidRDefault="00000000" w:rsidRPr="00000000" w14:paraId="00000150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• 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Los trabajos que contengan </w:t>
            </w:r>
            <w:r w:rsidDel="00000000" w:rsidR="00000000" w:rsidRPr="00000000">
              <w:rPr>
                <w:b w:val="1"/>
                <w:i w:val="1"/>
                <w:sz w:val="18"/>
                <w:szCs w:val="18"/>
                <w:rtl w:val="0"/>
              </w:rPr>
              <w:t xml:space="preserve">conceptos plagiados se calificarán con cero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 más las sanciones que se sumen dependiendo de la gravedad de la falta cometida. </w:t>
            </w:r>
            <w:r w:rsidDel="00000000" w:rsidR="00000000" w:rsidRPr="00000000">
              <w:rPr>
                <w:b w:val="1"/>
                <w:i w:val="1"/>
                <w:sz w:val="18"/>
                <w:szCs w:val="18"/>
                <w:rtl w:val="0"/>
              </w:rPr>
              <w:t xml:space="preserve">Reincidir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 amerita repetir curso.</w:t>
            </w:r>
          </w:p>
          <w:p w:rsidR="00000000" w:rsidDel="00000000" w:rsidP="00000000" w:rsidRDefault="00000000" w:rsidRPr="00000000" w14:paraId="00000151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• 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La originalidad de las ideas debe acreditarse con el seguimiento de un proceso metodológico riguroso hecho en el aula.</w:t>
            </w:r>
          </w:p>
          <w:p w:rsidR="00000000" w:rsidDel="00000000" w:rsidP="00000000" w:rsidRDefault="00000000" w:rsidRPr="00000000" w14:paraId="00000152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3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TÓPICOS DE CALIFICACIÓN</w:t>
            </w:r>
          </w:p>
          <w:p w:rsidR="00000000" w:rsidDel="00000000" w:rsidP="00000000" w:rsidRDefault="00000000" w:rsidRPr="00000000" w14:paraId="00000154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60% Desarrollos</w:t>
            </w:r>
          </w:p>
          <w:p w:rsidR="00000000" w:rsidDel="00000000" w:rsidP="00000000" w:rsidRDefault="00000000" w:rsidRPr="00000000" w14:paraId="00000155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~ Desarrollo 1, 15%</w:t>
            </w:r>
          </w:p>
          <w:p w:rsidR="00000000" w:rsidDel="00000000" w:rsidP="00000000" w:rsidRDefault="00000000" w:rsidRPr="00000000" w14:paraId="00000156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~ Desarrollo 2, 20%</w:t>
            </w:r>
          </w:p>
          <w:p w:rsidR="00000000" w:rsidDel="00000000" w:rsidP="00000000" w:rsidRDefault="00000000" w:rsidRPr="00000000" w14:paraId="00000157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~ Desarrollo 3, 25%</w:t>
            </w:r>
          </w:p>
          <w:p w:rsidR="00000000" w:rsidDel="00000000" w:rsidP="00000000" w:rsidRDefault="00000000" w:rsidRPr="00000000" w14:paraId="00000158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40% Tareas y ejercicios.</w:t>
            </w:r>
          </w:p>
          <w:p w:rsidR="00000000" w:rsidDel="00000000" w:rsidP="00000000" w:rsidRDefault="00000000" w:rsidRPr="00000000" w14:paraId="00000159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18" w:hRule="atLeast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7f7f7f" w:val="clear"/>
          </w:tcPr>
          <w:p w:rsidR="00000000" w:rsidDel="00000000" w:rsidP="00000000" w:rsidRDefault="00000000" w:rsidRPr="00000000" w14:paraId="0000015E">
            <w:pPr>
              <w:tabs>
                <w:tab w:val="left" w:pos="6340"/>
              </w:tabs>
              <w:spacing w:before="120" w:lineRule="auto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8.- BIBLIOGRAFÍA BÁSICA.</w:t>
            </w:r>
            <w:r w:rsidDel="00000000" w:rsidR="00000000" w:rsidRPr="00000000">
              <w:rPr>
                <w:rFonts w:ascii="Arial" w:cs="Arial" w:eastAsia="Arial" w:hAnsi="Arial"/>
                <w:color w:val="ffffff"/>
                <w:rtl w:val="0"/>
              </w:rPr>
              <w:t xml:space="preserve"> Mínimo la que debe ser leída</w:t>
              <w:tab/>
            </w:r>
          </w:p>
        </w:tc>
      </w:tr>
      <w:tr>
        <w:trPr>
          <w:trHeight w:val="418" w:hRule="atLeast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63">
            <w:pPr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4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Unidad uno</w:t>
            </w:r>
          </w:p>
          <w:p w:rsidR="00000000" w:rsidDel="00000000" w:rsidP="00000000" w:rsidRDefault="00000000" w:rsidRPr="00000000" w14:paraId="00000165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Esqueda, R. (2003). El juego del diseño, Ed. Designio, México, D. F. (2ª. Edición). </w:t>
            </w:r>
          </w:p>
          <w:p w:rsidR="00000000" w:rsidDel="00000000" w:rsidP="00000000" w:rsidRDefault="00000000" w:rsidRPr="00000000" w14:paraId="00000166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Meggs, Phillip B. (2009) </w:t>
            </w:r>
            <w:r w:rsidDel="00000000" w:rsidR="00000000" w:rsidRPr="00000000">
              <w:rPr>
                <w:rFonts w:ascii="Arial" w:cs="Arial" w:eastAsia="Arial" w:hAnsi="Arial"/>
                <w:i w:val="1"/>
                <w:sz w:val="18"/>
                <w:szCs w:val="18"/>
                <w:rtl w:val="0"/>
              </w:rPr>
              <w:t xml:space="preserve">Historia del Diseño Gráfico</w:t>
            </w: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. Barcelona – México: RM.</w:t>
            </w:r>
          </w:p>
          <w:p w:rsidR="00000000" w:rsidDel="00000000" w:rsidP="00000000" w:rsidRDefault="00000000" w:rsidRPr="00000000" w14:paraId="00000167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Moles, A. et J. Costa, (2005). </w:t>
            </w:r>
            <w:r w:rsidDel="00000000" w:rsidR="00000000" w:rsidRPr="00000000">
              <w:rPr>
                <w:rFonts w:ascii="Arial" w:cs="Arial" w:eastAsia="Arial" w:hAnsi="Arial"/>
                <w:i w:val="1"/>
                <w:sz w:val="18"/>
                <w:szCs w:val="18"/>
                <w:rtl w:val="0"/>
              </w:rPr>
              <w:t xml:space="preserve">Publicidad y Diseño</w:t>
            </w: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, Ed. Infinito, Buenos Aires. (3ª. Edición).</w:t>
            </w:r>
          </w:p>
          <w:p w:rsidR="00000000" w:rsidDel="00000000" w:rsidP="00000000" w:rsidRDefault="00000000" w:rsidRPr="00000000" w14:paraId="00000168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Müller-Brockmann, J. (1990). </w:t>
            </w:r>
            <w:r w:rsidDel="00000000" w:rsidR="00000000" w:rsidRPr="00000000">
              <w:rPr>
                <w:rFonts w:ascii="Arial" w:cs="Arial" w:eastAsia="Arial" w:hAnsi="Arial"/>
                <w:i w:val="1"/>
                <w:sz w:val="18"/>
                <w:szCs w:val="18"/>
                <w:rtl w:val="0"/>
              </w:rPr>
              <w:t xml:space="preserve">Historia de la comunicación visual</w:t>
            </w: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, Ed. Gustavo Gili, Barcelona.</w:t>
            </w:r>
          </w:p>
          <w:p w:rsidR="00000000" w:rsidDel="00000000" w:rsidP="00000000" w:rsidRDefault="00000000" w:rsidRPr="00000000" w14:paraId="00000169">
            <w:pPr>
              <w:tabs>
                <w:tab w:val="left" w:pos="4745"/>
              </w:tabs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Video: </w:t>
            </w:r>
            <w:r w:rsidDel="00000000" w:rsidR="00000000" w:rsidRPr="00000000">
              <w:rPr>
                <w:rFonts w:ascii="Arial" w:cs="Arial" w:eastAsia="Arial" w:hAnsi="Arial"/>
                <w:i w:val="1"/>
                <w:sz w:val="18"/>
                <w:szCs w:val="18"/>
                <w:rtl w:val="0"/>
              </w:rPr>
              <w:t xml:space="preserve">The Universal Arts of Graphics Design.</w:t>
            </w: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https://www.youtube.com/watch?v=sTi5SNgxE3U</w:t>
            </w:r>
          </w:p>
          <w:p w:rsidR="00000000" w:rsidDel="00000000" w:rsidP="00000000" w:rsidRDefault="00000000" w:rsidRPr="00000000" w14:paraId="0000016A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Video: Serie Netflix Abstract, Episodios: T1E, T1E6; T2E5, T2E6</w:t>
            </w:r>
          </w:p>
          <w:p w:rsidR="00000000" w:rsidDel="00000000" w:rsidP="00000000" w:rsidRDefault="00000000" w:rsidRPr="00000000" w14:paraId="0000016B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C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D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Unidad dos</w:t>
            </w:r>
          </w:p>
          <w:p w:rsidR="00000000" w:rsidDel="00000000" w:rsidP="00000000" w:rsidRDefault="00000000" w:rsidRPr="00000000" w14:paraId="0000016E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Dondis, D. A. (1985). Sintaxis de la imagen; Ed. Gustavo Gili, Barcelona. 6ª. Edición.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F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Müller-Brockmann, J. (2012). Sistema de retículas: un manual para diseñadores gráficos, Barcelona: Gustavo Gili.</w:t>
            </w:r>
          </w:p>
          <w:p w:rsidR="00000000" w:rsidDel="00000000" w:rsidP="00000000" w:rsidRDefault="00000000" w:rsidRPr="00000000" w14:paraId="00000170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Lupton, Ellen et Cole Phillips, Jennifer (2009) Diseño Gráfico : nuevos fundamentos. Barcelona : Gustavo Gili.</w:t>
            </w:r>
          </w:p>
          <w:p w:rsidR="00000000" w:rsidDel="00000000" w:rsidP="00000000" w:rsidRDefault="00000000" w:rsidRPr="00000000" w14:paraId="00000171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Prado León, L. (2009). Percepción Visual. Guadalajara. Universidad de Guadalajara.</w:t>
            </w:r>
          </w:p>
          <w:p w:rsidR="00000000" w:rsidDel="00000000" w:rsidP="00000000" w:rsidRDefault="00000000" w:rsidRPr="00000000" w14:paraId="00000172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Video: Art &amp; Copy.</w:t>
            </w:r>
          </w:p>
          <w:p w:rsidR="00000000" w:rsidDel="00000000" w:rsidP="00000000" w:rsidRDefault="00000000" w:rsidRPr="00000000" w14:paraId="00000173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Revista Zincografia: </w:t>
            </w:r>
            <w:hyperlink r:id="rId8">
              <w:r w:rsidDel="00000000" w:rsidR="00000000" w:rsidRPr="00000000">
                <w:rPr>
                  <w:rFonts w:ascii="Arial" w:cs="Arial" w:eastAsia="Arial" w:hAnsi="Arial"/>
                  <w:color w:val="0000ff"/>
                  <w:sz w:val="18"/>
                  <w:szCs w:val="18"/>
                  <w:u w:val="single"/>
                  <w:rtl w:val="0"/>
                </w:rPr>
                <w:t xml:space="preserve">http://www.zincografia.cuaad.udg.mx/index.php/ZC/article/view/37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4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5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Unidad tres</w:t>
            </w:r>
          </w:p>
          <w:p w:rsidR="00000000" w:rsidDel="00000000" w:rsidP="00000000" w:rsidRDefault="00000000" w:rsidRPr="00000000" w14:paraId="00000176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Rivera Díaz, Luis Antonio. (2007). La retórica en el diseño gráfico. México: ENCUADRE.</w:t>
            </w:r>
          </w:p>
          <w:p w:rsidR="00000000" w:rsidDel="00000000" w:rsidP="00000000" w:rsidRDefault="00000000" w:rsidRPr="00000000" w14:paraId="00000177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Lakoff, George y Johnson, Mark, Metáforas de la vida cotidiana, Madrid, Ed. Catedra, 2001</w:t>
            </w:r>
          </w:p>
          <w:p w:rsidR="00000000" w:rsidDel="00000000" w:rsidP="00000000" w:rsidRDefault="00000000" w:rsidRPr="00000000" w14:paraId="00000178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9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A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Bibliografía complementaria:</w:t>
            </w:r>
          </w:p>
          <w:p w:rsidR="00000000" w:rsidDel="00000000" w:rsidP="00000000" w:rsidRDefault="00000000" w:rsidRPr="00000000" w14:paraId="0000017B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Schiffman, Harvey R (2003). La Percepción Sensorial. Editorial Limusa, México. DF. 2ª. Edición.</w:t>
            </w:r>
          </w:p>
          <w:p w:rsidR="00000000" w:rsidDel="00000000" w:rsidP="00000000" w:rsidRDefault="00000000" w:rsidRPr="00000000" w14:paraId="0000017C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Leborg, C. (2014). Gramática Visual. Barcelona: Ed. G.G.</w:t>
            </w:r>
          </w:p>
          <w:p w:rsidR="00000000" w:rsidDel="00000000" w:rsidP="00000000" w:rsidRDefault="00000000" w:rsidRPr="00000000" w14:paraId="0000017D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Aaris, Sherin. (2012). Elementos del Diseño. Fundamentos Del Color. México: Parramon Ediciones</w:t>
            </w:r>
          </w:p>
          <w:p w:rsidR="00000000" w:rsidDel="00000000" w:rsidP="00000000" w:rsidRDefault="00000000" w:rsidRPr="00000000" w14:paraId="0000017E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Timothy, Samara. (2006). Diseñar con y sin retícula. Barcelona Editorial Gustavo Gili.</w:t>
            </w:r>
          </w:p>
          <w:p w:rsidR="00000000" w:rsidDel="00000000" w:rsidP="00000000" w:rsidRDefault="00000000" w:rsidRPr="00000000" w14:paraId="0000017F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HARRIS-Harris, (2015). Metodología del diseño, España. Ed. Parramón, Arts &amp; Design.</w:t>
              <w:br w:type="textWrapping"/>
              <w:t xml:space="preserve">ISBN:978-84-342-3663-9</w:t>
            </w:r>
          </w:p>
          <w:p w:rsidR="00000000" w:rsidDel="00000000" w:rsidP="00000000" w:rsidRDefault="00000000" w:rsidRPr="00000000" w14:paraId="00000180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Frascara, J. (2006). El Diseño de Comunicación, Ed. Infinito, Buenos Aires.</w:t>
            </w:r>
          </w:p>
          <w:p w:rsidR="00000000" w:rsidDel="00000000" w:rsidP="00000000" w:rsidRDefault="00000000" w:rsidRPr="00000000" w14:paraId="00000181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Paoli Bolio, A. et C. González, (1999). Comunicación publicitaria, Ed. Trillas, México, D. F. </w:t>
            </w:r>
          </w:p>
          <w:p w:rsidR="00000000" w:rsidDel="00000000" w:rsidP="00000000" w:rsidRDefault="00000000" w:rsidRPr="00000000" w14:paraId="00000182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Frascara, J., (2000). Diseño gráfico para la gente: Comunicaciones de masas y cambio social. Ediciones Infinito, Buenos Aires. </w:t>
            </w:r>
          </w:p>
          <w:p w:rsidR="00000000" w:rsidDel="00000000" w:rsidP="00000000" w:rsidRDefault="00000000" w:rsidRPr="00000000" w14:paraId="00000183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Reardon, K. (1991). La persuasión en la comunicación: teoría y contexto. Ed. Paidós Comunicación, Barcelona. (</w:t>
            </w:r>
          </w:p>
          <w:p w:rsidR="00000000" w:rsidDel="00000000" w:rsidP="00000000" w:rsidRDefault="00000000" w:rsidRPr="00000000" w14:paraId="00000184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Andrews, Marc; Van Leeuwen, Matthijs &amp; Van Baaren, Rick. (2016) </w:t>
            </w:r>
            <w:r w:rsidDel="00000000" w:rsidR="00000000" w:rsidRPr="00000000">
              <w:rPr>
                <w:rFonts w:ascii="Arial" w:cs="Arial" w:eastAsia="Arial" w:hAnsi="Arial"/>
                <w:i w:val="1"/>
                <w:sz w:val="18"/>
                <w:szCs w:val="18"/>
                <w:rtl w:val="0"/>
              </w:rPr>
              <w:t xml:space="preserve">Persuasión. 33 técnicas publicitarias de influencia psicológica.</w:t>
            </w: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Barcelona: GG</w:t>
            </w:r>
          </w:p>
          <w:p w:rsidR="00000000" w:rsidDel="00000000" w:rsidP="00000000" w:rsidRDefault="00000000" w:rsidRPr="00000000" w14:paraId="00000185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Kety Betés. et al. (2005).Lenguaje publicitario : la seducción permanente. Barcelona : Ariel.</w:t>
            </w:r>
          </w:p>
          <w:p w:rsidR="00000000" w:rsidDel="00000000" w:rsidP="00000000" w:rsidRDefault="00000000" w:rsidRPr="00000000" w14:paraId="00000186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Coates, Kathyn, (2014). Introducción al Diseño de información. Barcelona,</w:t>
              <w:br w:type="textWrapping"/>
              <w:t xml:space="preserve">Ed. Parramón, Arts &amp; Design</w:t>
              <w:br w:type="textWrapping"/>
              <w:t xml:space="preserve">ISBN: 9788434241046</w:t>
            </w:r>
          </w:p>
          <w:p w:rsidR="00000000" w:rsidDel="00000000" w:rsidP="00000000" w:rsidRDefault="00000000" w:rsidRPr="00000000" w14:paraId="00000187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Ching, Francis.D.K. Arquitectura, forma, espacio, orden. Barcelona: Editorial GG.</w:t>
            </w:r>
          </w:p>
          <w:p w:rsidR="00000000" w:rsidDel="00000000" w:rsidP="00000000" w:rsidRDefault="00000000" w:rsidRPr="00000000" w14:paraId="00000188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Costa, J. (1989). Señalética, de la señalización al diseño de programas. España, CEAC. 2ª. Edición.</w:t>
            </w:r>
          </w:p>
          <w:p w:rsidR="00000000" w:rsidDel="00000000" w:rsidP="00000000" w:rsidRDefault="00000000" w:rsidRPr="00000000" w14:paraId="00000189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Dabner, David, Stewart, Sandra, Zempol, Eric. (2015). Diseño Gráficos Fundamentos y Prácticas. Barcelona: Editorial Blume.</w:t>
            </w:r>
          </w:p>
        </w:tc>
      </w:tr>
      <w:t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18E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18F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190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191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2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3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194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7f7f7f" w:val="clear"/>
          </w:tcPr>
          <w:p w:rsidR="00000000" w:rsidDel="00000000" w:rsidP="00000000" w:rsidRDefault="00000000" w:rsidRPr="00000000" w14:paraId="00000195">
            <w:pPr>
              <w:jc w:val="center"/>
              <w:rPr>
                <w:rFonts w:ascii="Arial" w:cs="Arial" w:eastAsia="Arial" w:hAnsi="Arial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0"/>
                <w:szCs w:val="20"/>
                <w:rtl w:val="0"/>
              </w:rPr>
              <w:t xml:space="preserve">Fecha de revisión: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7f7f7f" w:val="clear"/>
          </w:tcPr>
          <w:p w:rsidR="00000000" w:rsidDel="00000000" w:rsidP="00000000" w:rsidRDefault="00000000" w:rsidRPr="00000000" w14:paraId="00000196">
            <w:pPr>
              <w:rPr>
                <w:rFonts w:ascii="Arial" w:cs="Arial" w:eastAsia="Arial" w:hAnsi="Arial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0"/>
                <w:szCs w:val="20"/>
                <w:rtl w:val="0"/>
              </w:rPr>
              <w:t xml:space="preserve">Elaborado por: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A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B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24 de Agosto 2020</w:t>
            </w:r>
          </w:p>
          <w:p w:rsidR="00000000" w:rsidDel="00000000" w:rsidP="00000000" w:rsidRDefault="00000000" w:rsidRPr="00000000" w14:paraId="0000019C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14:49 horas.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D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Agustín Tonatihu Hernández Salazar</w:t>
            </w:r>
          </w:p>
          <w:p w:rsidR="00000000" w:rsidDel="00000000" w:rsidP="00000000" w:rsidRDefault="00000000" w:rsidRPr="00000000" w14:paraId="0000019E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Rosa María Velasco Villaseñor</w:t>
            </w:r>
          </w:p>
          <w:p w:rsidR="00000000" w:rsidDel="00000000" w:rsidP="00000000" w:rsidRDefault="00000000" w:rsidRPr="00000000" w14:paraId="0000019F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Claudia Mercado Peña</w:t>
            </w:r>
          </w:p>
          <w:p w:rsidR="00000000" w:rsidDel="00000000" w:rsidP="00000000" w:rsidRDefault="00000000" w:rsidRPr="00000000" w14:paraId="000001A0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Claudia Verónica Rodríguez Fernández</w:t>
            </w:r>
          </w:p>
          <w:p w:rsidR="00000000" w:rsidDel="00000000" w:rsidP="00000000" w:rsidRDefault="00000000" w:rsidRPr="00000000" w14:paraId="000001A1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Eduardo Castillo Bernal</w:t>
            </w:r>
          </w:p>
          <w:p w:rsidR="00000000" w:rsidDel="00000000" w:rsidP="00000000" w:rsidRDefault="00000000" w:rsidRPr="00000000" w14:paraId="000001A2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Ernesto González Franco</w:t>
            </w:r>
          </w:p>
          <w:p w:rsidR="00000000" w:rsidDel="00000000" w:rsidP="00000000" w:rsidRDefault="00000000" w:rsidRPr="00000000" w14:paraId="000001A3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José Isaac Cortés López</w:t>
            </w:r>
          </w:p>
          <w:p w:rsidR="00000000" w:rsidDel="00000000" w:rsidP="00000000" w:rsidRDefault="00000000" w:rsidRPr="00000000" w14:paraId="000001A4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Marco Aquiles Chávez Lecuanda</w:t>
            </w:r>
          </w:p>
          <w:p w:rsidR="00000000" w:rsidDel="00000000" w:rsidP="00000000" w:rsidRDefault="00000000" w:rsidRPr="00000000" w14:paraId="000001A5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Carlos Gabriel Carrillo Tovar</w:t>
            </w:r>
          </w:p>
        </w:tc>
      </w:tr>
    </w:tbl>
    <w:p w:rsidR="00000000" w:rsidDel="00000000" w:rsidP="00000000" w:rsidRDefault="00000000" w:rsidRPr="00000000" w14:paraId="000001A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A">
      <w:pPr>
        <w:widowControl w:val="0"/>
        <w:spacing w:after="0" w:line="240" w:lineRule="auto"/>
        <w:rPr>
          <w:rFonts w:ascii="Helvetica Neue" w:cs="Helvetica Neue" w:eastAsia="Helvetica Neue" w:hAnsi="Helvetica Neue"/>
          <w:color w:val="16191f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B">
      <w:pPr>
        <w:rPr/>
      </w:pPr>
      <w:r w:rsidDel="00000000" w:rsidR="00000000" w:rsidRPr="00000000">
        <w:rPr>
          <w:rtl w:val="0"/>
        </w:rPr>
      </w:r>
    </w:p>
    <w:sectPr>
      <w:pgSz w:h="15840" w:w="12240"/>
      <w:pgMar w:bottom="1417" w:top="1134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  <w:font w:name="Verdana"/>
  <w:font w:name="Courier New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~"/>
      <w:lvlJc w:val="left"/>
      <w:pPr>
        <w:ind w:left="227" w:hanging="227"/>
      </w:pPr>
      <w:rPr>
        <w:rFonts w:ascii="Courier New" w:cs="Courier New" w:eastAsia="Courier New" w:hAnsi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~"/>
      <w:lvlJc w:val="left"/>
      <w:pPr>
        <w:ind w:left="227" w:hanging="227"/>
      </w:pPr>
      <w:rPr>
        <w:rFonts w:ascii="Courier New" w:cs="Courier New" w:eastAsia="Courier New" w:hAnsi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lowerLetter"/>
      <w:lvlText w:val="%1)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4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">
    <w:lvl w:ilvl="0">
      <w:start w:val="1"/>
      <w:numFmt w:val="bullet"/>
      <w:lvlText w:val="~"/>
      <w:lvlJc w:val="left"/>
      <w:pPr>
        <w:ind w:left="227" w:hanging="227"/>
      </w:pPr>
      <w:rPr>
        <w:rFonts w:ascii="Courier New" w:cs="Courier New" w:eastAsia="Courier New" w:hAnsi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7">
    <w:lvl w:ilvl="0">
      <w:start w:val="1"/>
      <w:numFmt w:val="bullet"/>
      <w:lvlText w:val="~"/>
      <w:lvlJc w:val="left"/>
      <w:pPr>
        <w:ind w:left="227" w:hanging="227"/>
      </w:pPr>
      <w:rPr>
        <w:rFonts w:ascii="Courier New" w:cs="Courier New" w:eastAsia="Courier New" w:hAnsi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ES_tradnl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Fuentedeprrafopredeter" w:default="1">
    <w:name w:val="Default Paragraph Font"/>
    <w:uiPriority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aconcuadrcula">
    <w:name w:val="Table Grid"/>
    <w:basedOn w:val="Tablanormal"/>
    <w:uiPriority w:val="59"/>
    <w:rsid w:val="00B05871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Textodeglobo">
    <w:name w:val="Balloon Text"/>
    <w:basedOn w:val="Normal"/>
    <w:link w:val="TextodegloboCar"/>
    <w:uiPriority w:val="99"/>
    <w:semiHidden w:val="1"/>
    <w:unhideWhenUsed w:val="1"/>
    <w:rsid w:val="00B05871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 w:val="1"/>
    <w:rsid w:val="00B05871"/>
    <w:rPr>
      <w:rFonts w:ascii="Tahoma" w:cs="Tahoma" w:hAnsi="Tahoma"/>
      <w:sz w:val="16"/>
      <w:szCs w:val="16"/>
    </w:rPr>
  </w:style>
  <w:style w:type="paragraph" w:styleId="Prrafodelista">
    <w:name w:val="List Paragraph"/>
    <w:basedOn w:val="Normal"/>
    <w:uiPriority w:val="34"/>
    <w:qFormat w:val="1"/>
    <w:rsid w:val="00D340AE"/>
    <w:pPr>
      <w:ind w:left="720"/>
      <w:contextualSpacing w:val="1"/>
    </w:pPr>
  </w:style>
  <w:style w:type="character" w:styleId="Hipervnculo">
    <w:name w:val="Hyperlink"/>
    <w:rsid w:val="00B46E60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 w:val="1"/>
    <w:unhideWhenUsed w:val="1"/>
    <w:rsid w:val="00B46E60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 w:val="1"/>
    <w:unhideWhenUsed w:val="1"/>
    <w:rsid w:val="00B46E60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  <w:lang w:eastAsia="es-ES" w:val="es-ES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 w:val="1"/>
    <w:rsid w:val="00B46E60"/>
    <w:rPr>
      <w:rFonts w:ascii="Times New Roman" w:cs="Times New Roman" w:eastAsia="Times New Roman" w:hAnsi="Times New Roman"/>
      <w:sz w:val="24"/>
      <w:szCs w:val="24"/>
      <w:lang w:eastAsia="es-ES" w:val="es-ES"/>
    </w:rPr>
  </w:style>
  <w:style w:type="paragraph" w:styleId="subtitulo" w:customStyle="1">
    <w:name w:val="subtitulo"/>
    <w:basedOn w:val="Normal"/>
    <w:rsid w:val="00A03F5A"/>
    <w:pPr>
      <w:spacing w:after="100" w:afterAutospacing="1" w:before="100" w:beforeAutospacing="1" w:line="240" w:lineRule="auto"/>
    </w:pPr>
    <w:rPr>
      <w:rFonts w:ascii="Verdana" w:cs="Times New Roman" w:eastAsia="Times New Roman" w:hAnsi="Verdana"/>
      <w:b w:val="1"/>
      <w:bCs w:val="1"/>
      <w:color w:val="006600"/>
      <w:sz w:val="21"/>
      <w:szCs w:val="21"/>
      <w:lang w:eastAsia="es-ES" w:val="es-ES"/>
    </w:rPr>
  </w:style>
  <w:style w:type="character" w:styleId="Mencinsinresolver">
    <w:name w:val="Unresolved Mention"/>
    <w:basedOn w:val="Fuentedeprrafopredeter"/>
    <w:uiPriority w:val="99"/>
    <w:semiHidden w:val="1"/>
    <w:unhideWhenUsed w:val="1"/>
    <w:rsid w:val="00C5272B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yperlink" Target="http://www.zincografia.cuaad.udg.mx/index.php/ZC/article/view/37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pcC8+Kl5vCJSpys7SH3A4u4as9A==">AMUW2mUt3iGUJlzQ8Kfpnn6KatH630WD1f9K6dFVx/h+bELThRRjJMZNGyUAsyoAk4l3LfrHmRTLNKeumkYt12KKkDu8BLhE3Y06BAtPGX5VDHTzWwUkdzwJ58fxinQHADQgtjxBg5by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2020-08-24T15:27:00Z</dcterms:created>
  <dc:creator>Cynthia</dc:creator>
</cp:coreProperties>
</file>